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DFAE" w14:textId="44EDBF9A" w:rsidR="002C5711" w:rsidRPr="00762EAA" w:rsidRDefault="0084583C" w:rsidP="0061346B">
      <w:pPr>
        <w:spacing w:after="0"/>
        <w:jc w:val="both"/>
        <w:rPr>
          <w:rFonts w:ascii="Arial" w:hAnsi="Arial" w:cs="Arial"/>
          <w:b/>
          <w:sz w:val="24"/>
          <w:szCs w:val="24"/>
        </w:rPr>
      </w:pPr>
      <w:r w:rsidRPr="00762EAA">
        <w:rPr>
          <w:rFonts w:ascii="Arial" w:hAnsi="Arial" w:cs="Arial"/>
          <w:b/>
          <w:noProof/>
          <w:sz w:val="24"/>
          <w:szCs w:val="24"/>
        </w:rPr>
        <w:drawing>
          <wp:anchor distT="0" distB="0" distL="114300" distR="114300" simplePos="0" relativeHeight="251662336" behindDoc="0" locked="0" layoutInCell="1" allowOverlap="1" wp14:anchorId="2928965C" wp14:editId="11246478">
            <wp:simplePos x="0" y="0"/>
            <wp:positionH relativeFrom="column">
              <wp:posOffset>-160655</wp:posOffset>
            </wp:positionH>
            <wp:positionV relativeFrom="paragraph">
              <wp:posOffset>237490</wp:posOffset>
            </wp:positionV>
            <wp:extent cx="215265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FF0F2" w14:textId="26FF87E7" w:rsidR="00245BE4" w:rsidRPr="00762EAA" w:rsidRDefault="00142D29" w:rsidP="008F0E35">
      <w:pPr>
        <w:spacing w:after="0"/>
        <w:ind w:left="3969"/>
        <w:jc w:val="both"/>
        <w:rPr>
          <w:rFonts w:ascii="Arial" w:hAnsi="Arial" w:cs="Arial"/>
          <w:b/>
          <w:sz w:val="24"/>
          <w:szCs w:val="24"/>
        </w:rPr>
      </w:pPr>
      <w:r w:rsidRPr="00762EAA">
        <w:rPr>
          <w:rFonts w:ascii="Arial" w:hAnsi="Arial" w:cs="Arial"/>
          <w:b/>
          <w:sz w:val="24"/>
          <w:szCs w:val="24"/>
        </w:rPr>
        <w:t>ACUERDO PLENO</w:t>
      </w:r>
      <w:r w:rsidR="00D82188" w:rsidRPr="00762EAA">
        <w:rPr>
          <w:rFonts w:ascii="Arial" w:hAnsi="Arial" w:cs="Arial"/>
          <w:b/>
          <w:sz w:val="24"/>
          <w:szCs w:val="24"/>
        </w:rPr>
        <w:t xml:space="preserve"> 001</w:t>
      </w:r>
      <w:r w:rsidR="00FC7C2B" w:rsidRPr="00762EAA">
        <w:rPr>
          <w:rFonts w:ascii="Arial" w:hAnsi="Arial" w:cs="Arial"/>
          <w:b/>
          <w:sz w:val="24"/>
          <w:szCs w:val="24"/>
        </w:rPr>
        <w:t>/</w:t>
      </w:r>
      <w:r w:rsidRPr="00762EAA">
        <w:rPr>
          <w:rFonts w:ascii="Arial" w:hAnsi="Arial" w:cs="Arial"/>
          <w:b/>
          <w:sz w:val="24"/>
          <w:szCs w:val="24"/>
        </w:rPr>
        <w:t>20</w:t>
      </w:r>
      <w:r w:rsidR="00943330" w:rsidRPr="00762EAA">
        <w:rPr>
          <w:rFonts w:ascii="Arial" w:hAnsi="Arial" w:cs="Arial"/>
          <w:b/>
          <w:sz w:val="24"/>
          <w:szCs w:val="24"/>
        </w:rPr>
        <w:t>2</w:t>
      </w:r>
      <w:r w:rsidR="00D82188" w:rsidRPr="00762EAA">
        <w:rPr>
          <w:rFonts w:ascii="Arial" w:hAnsi="Arial" w:cs="Arial"/>
          <w:b/>
          <w:sz w:val="24"/>
          <w:szCs w:val="24"/>
        </w:rPr>
        <w:t>5</w:t>
      </w:r>
    </w:p>
    <w:p w14:paraId="54CB72D7" w14:textId="436E4BF5" w:rsidR="00A84657" w:rsidRPr="00EB7810" w:rsidRDefault="002C5711" w:rsidP="00EB7810">
      <w:pPr>
        <w:spacing w:after="0" w:line="240" w:lineRule="auto"/>
        <w:ind w:left="3969"/>
        <w:jc w:val="both"/>
        <w:rPr>
          <w:rFonts w:ascii="Arial" w:hAnsi="Arial" w:cs="Arial"/>
          <w:b/>
        </w:rPr>
      </w:pPr>
      <w:r w:rsidRPr="00EB7810">
        <w:rPr>
          <w:rFonts w:ascii="Arial" w:hAnsi="Arial" w:cs="Arial"/>
          <w:b/>
        </w:rPr>
        <w:t>Se</w:t>
      </w:r>
      <w:r w:rsidR="00CE71C4" w:rsidRPr="00EB7810">
        <w:rPr>
          <w:rFonts w:ascii="Arial" w:hAnsi="Arial" w:cs="Arial"/>
          <w:b/>
        </w:rPr>
        <w:t xml:space="preserve"> determina el calendario oficial de labores</w:t>
      </w:r>
      <w:r w:rsidR="00BA7D38" w:rsidRPr="00EB7810">
        <w:rPr>
          <w:rFonts w:ascii="Arial" w:hAnsi="Arial" w:cs="Arial"/>
          <w:b/>
        </w:rPr>
        <w:t>,</w:t>
      </w:r>
      <w:r w:rsidR="00CE71C4" w:rsidRPr="00EB7810">
        <w:rPr>
          <w:rFonts w:ascii="Arial" w:hAnsi="Arial" w:cs="Arial"/>
          <w:b/>
        </w:rPr>
        <w:t xml:space="preserve"> los periodos vacacionales correspondientes al año </w:t>
      </w:r>
      <w:r w:rsidR="00D82188" w:rsidRPr="00EB7810">
        <w:rPr>
          <w:rFonts w:ascii="Arial" w:hAnsi="Arial" w:cs="Arial"/>
          <w:b/>
        </w:rPr>
        <w:t>dos mil veinticinco</w:t>
      </w:r>
      <w:r w:rsidR="009F176E" w:rsidRPr="00EB7810">
        <w:rPr>
          <w:rFonts w:ascii="Arial" w:hAnsi="Arial" w:cs="Arial"/>
          <w:b/>
        </w:rPr>
        <w:t>, así como el personal que cubrirá las guardias respectivas.</w:t>
      </w:r>
    </w:p>
    <w:p w14:paraId="2474F3B9" w14:textId="77777777" w:rsidR="002C675F" w:rsidRPr="00762EAA" w:rsidRDefault="002C675F" w:rsidP="000D3BBB">
      <w:pPr>
        <w:spacing w:after="0" w:line="360" w:lineRule="auto"/>
        <w:jc w:val="both"/>
        <w:rPr>
          <w:rFonts w:ascii="Arial" w:hAnsi="Arial" w:cs="Arial"/>
          <w:sz w:val="24"/>
          <w:szCs w:val="24"/>
        </w:rPr>
      </w:pPr>
    </w:p>
    <w:p w14:paraId="2C9B8CAF" w14:textId="64850A4D" w:rsidR="00002625" w:rsidRPr="00762EAA" w:rsidRDefault="00D6525B" w:rsidP="00002625">
      <w:pPr>
        <w:spacing w:after="0" w:line="360" w:lineRule="auto"/>
        <w:ind w:firstLine="709"/>
        <w:jc w:val="both"/>
        <w:rPr>
          <w:rFonts w:ascii="Arial" w:hAnsi="Arial" w:cs="Arial"/>
          <w:sz w:val="24"/>
          <w:szCs w:val="24"/>
        </w:rPr>
      </w:pPr>
      <w:r w:rsidRPr="00762EAA">
        <w:rPr>
          <w:rFonts w:ascii="Arial" w:hAnsi="Arial" w:cs="Arial"/>
          <w:sz w:val="24"/>
          <w:szCs w:val="24"/>
        </w:rPr>
        <w:t xml:space="preserve">Acuerdo </w:t>
      </w:r>
      <w:r w:rsidR="00142D29" w:rsidRPr="00762EAA">
        <w:rPr>
          <w:rFonts w:ascii="Arial" w:hAnsi="Arial" w:cs="Arial"/>
          <w:sz w:val="24"/>
          <w:szCs w:val="24"/>
        </w:rPr>
        <w:t>del Pleno del Tribunal Estatal de Justicia</w:t>
      </w:r>
      <w:r w:rsidR="004339BC" w:rsidRPr="00762EAA">
        <w:rPr>
          <w:rFonts w:ascii="Arial" w:hAnsi="Arial" w:cs="Arial"/>
          <w:sz w:val="24"/>
          <w:szCs w:val="24"/>
        </w:rPr>
        <w:t xml:space="preserve"> Administrativa </w:t>
      </w:r>
      <w:r w:rsidR="00A461EB" w:rsidRPr="00762EAA">
        <w:rPr>
          <w:rFonts w:ascii="Arial" w:hAnsi="Arial" w:cs="Arial"/>
          <w:sz w:val="24"/>
          <w:szCs w:val="24"/>
        </w:rPr>
        <w:t>mediante el cual</w:t>
      </w:r>
      <w:r w:rsidR="00D53E60" w:rsidRPr="00762EAA">
        <w:rPr>
          <w:rFonts w:ascii="Arial" w:hAnsi="Arial" w:cs="Arial"/>
          <w:sz w:val="24"/>
          <w:szCs w:val="24"/>
        </w:rPr>
        <w:t xml:space="preserve"> se</w:t>
      </w:r>
      <w:r w:rsidR="007849E3" w:rsidRPr="00762EAA">
        <w:rPr>
          <w:rFonts w:ascii="Arial" w:hAnsi="Arial" w:cs="Arial"/>
          <w:sz w:val="24"/>
          <w:szCs w:val="24"/>
        </w:rPr>
        <w:t xml:space="preserve"> </w:t>
      </w:r>
      <w:r w:rsidR="00CE71C4" w:rsidRPr="00762EAA">
        <w:rPr>
          <w:rFonts w:ascii="Arial" w:eastAsia="Times New Roman" w:hAnsi="Arial" w:cs="Arial"/>
          <w:sz w:val="24"/>
          <w:szCs w:val="24"/>
        </w:rPr>
        <w:t>determina</w:t>
      </w:r>
      <w:r w:rsidR="009F176E" w:rsidRPr="00762EAA">
        <w:rPr>
          <w:rFonts w:ascii="Arial" w:eastAsia="Times New Roman" w:hAnsi="Arial" w:cs="Arial"/>
          <w:sz w:val="24"/>
          <w:szCs w:val="24"/>
        </w:rPr>
        <w:t>n</w:t>
      </w:r>
      <w:r w:rsidR="00CE71C4" w:rsidRPr="00762EAA">
        <w:rPr>
          <w:rFonts w:ascii="Arial" w:eastAsia="Times New Roman" w:hAnsi="Arial" w:cs="Arial"/>
          <w:sz w:val="24"/>
          <w:szCs w:val="24"/>
        </w:rPr>
        <w:t xml:space="preserve"> el calendario oficial de labores</w:t>
      </w:r>
      <w:r w:rsidR="00BA7D38" w:rsidRPr="00762EAA">
        <w:rPr>
          <w:rFonts w:ascii="Arial" w:eastAsia="Times New Roman" w:hAnsi="Arial" w:cs="Arial"/>
          <w:sz w:val="24"/>
          <w:szCs w:val="24"/>
        </w:rPr>
        <w:t>,</w:t>
      </w:r>
      <w:r w:rsidR="00CE71C4" w:rsidRPr="00762EAA">
        <w:rPr>
          <w:rFonts w:ascii="Arial" w:eastAsia="Times New Roman" w:hAnsi="Arial" w:cs="Arial"/>
          <w:sz w:val="24"/>
          <w:szCs w:val="24"/>
        </w:rPr>
        <w:t xml:space="preserve"> los periodos vacacionales correspondientes al año </w:t>
      </w:r>
      <w:r w:rsidR="00D82188" w:rsidRPr="00762EAA">
        <w:rPr>
          <w:rFonts w:ascii="Arial" w:eastAsia="Times New Roman" w:hAnsi="Arial" w:cs="Arial"/>
          <w:sz w:val="24"/>
          <w:szCs w:val="24"/>
        </w:rPr>
        <w:t>dos mil veinticinco</w:t>
      </w:r>
      <w:r w:rsidR="009F176E" w:rsidRPr="00762EAA">
        <w:rPr>
          <w:rFonts w:ascii="Arial" w:eastAsia="Times New Roman" w:hAnsi="Arial" w:cs="Arial"/>
          <w:sz w:val="24"/>
          <w:szCs w:val="24"/>
        </w:rPr>
        <w:t xml:space="preserve">, así como el personal que cubrirá las guardias respectivas. </w:t>
      </w:r>
    </w:p>
    <w:p w14:paraId="7A9F0E30" w14:textId="6670DD21" w:rsidR="008A48CB" w:rsidRPr="00762EAA" w:rsidRDefault="008A48CB" w:rsidP="008A48CB">
      <w:pPr>
        <w:spacing w:after="0" w:line="360" w:lineRule="auto"/>
        <w:ind w:firstLine="708"/>
        <w:jc w:val="both"/>
        <w:rPr>
          <w:rFonts w:ascii="Arial" w:hAnsi="Arial" w:cs="Arial"/>
          <w:b/>
          <w:sz w:val="24"/>
          <w:szCs w:val="24"/>
        </w:rPr>
      </w:pPr>
    </w:p>
    <w:p w14:paraId="620B825C" w14:textId="2184F2C0" w:rsidR="004339BC" w:rsidRPr="00762EAA" w:rsidRDefault="00142D29" w:rsidP="008F0E35">
      <w:pPr>
        <w:spacing w:after="0"/>
        <w:jc w:val="center"/>
        <w:rPr>
          <w:rFonts w:ascii="Arial" w:hAnsi="Arial" w:cs="Arial"/>
          <w:b/>
          <w:sz w:val="24"/>
          <w:szCs w:val="24"/>
        </w:rPr>
      </w:pPr>
      <w:r w:rsidRPr="00762EAA">
        <w:rPr>
          <w:rFonts w:ascii="Arial" w:hAnsi="Arial" w:cs="Arial"/>
          <w:b/>
          <w:sz w:val="24"/>
          <w:szCs w:val="24"/>
        </w:rPr>
        <w:t>CONSIDERANDO</w:t>
      </w:r>
      <w:r w:rsidR="008F0E35" w:rsidRPr="00762EAA">
        <w:rPr>
          <w:rFonts w:ascii="Arial" w:hAnsi="Arial" w:cs="Arial"/>
          <w:b/>
          <w:sz w:val="24"/>
          <w:szCs w:val="24"/>
        </w:rPr>
        <w:t>:</w:t>
      </w:r>
    </w:p>
    <w:p w14:paraId="5210B6B1" w14:textId="77777777" w:rsidR="00F4190C" w:rsidRPr="00762EAA" w:rsidRDefault="00F4190C" w:rsidP="00F4190C">
      <w:pPr>
        <w:spacing w:after="0" w:line="360" w:lineRule="auto"/>
        <w:jc w:val="both"/>
        <w:rPr>
          <w:rFonts w:ascii="Arial" w:hAnsi="Arial" w:cs="Arial"/>
          <w:b/>
          <w:sz w:val="24"/>
          <w:szCs w:val="24"/>
        </w:rPr>
      </w:pPr>
    </w:p>
    <w:p w14:paraId="689393E7" w14:textId="1977EFE6" w:rsidR="004548BE" w:rsidRPr="00762EAA" w:rsidRDefault="004548BE" w:rsidP="00F4190C">
      <w:pPr>
        <w:spacing w:after="0" w:line="360" w:lineRule="auto"/>
        <w:ind w:firstLine="709"/>
        <w:jc w:val="both"/>
        <w:rPr>
          <w:rFonts w:ascii="Arial" w:hAnsi="Arial" w:cs="Arial"/>
          <w:b/>
          <w:bCs/>
          <w:sz w:val="24"/>
          <w:szCs w:val="24"/>
        </w:rPr>
      </w:pPr>
      <w:r w:rsidRPr="00762EAA">
        <w:rPr>
          <w:rFonts w:ascii="Arial" w:hAnsi="Arial" w:cs="Arial"/>
          <w:b/>
          <w:bCs/>
          <w:sz w:val="24"/>
          <w:szCs w:val="24"/>
        </w:rPr>
        <w:t>I</w:t>
      </w:r>
      <w:r w:rsidR="008A48CB" w:rsidRPr="00762EAA">
        <w:rPr>
          <w:rFonts w:ascii="Arial" w:hAnsi="Arial" w:cs="Arial"/>
          <w:b/>
          <w:bCs/>
          <w:sz w:val="24"/>
          <w:szCs w:val="24"/>
        </w:rPr>
        <w:t>.</w:t>
      </w:r>
      <w:r w:rsidRPr="00762EAA">
        <w:rPr>
          <w:rFonts w:ascii="Arial" w:hAnsi="Arial" w:cs="Arial"/>
          <w:b/>
          <w:bCs/>
          <w:sz w:val="24"/>
          <w:szCs w:val="24"/>
        </w:rPr>
        <w:t xml:space="preserve"> </w:t>
      </w:r>
      <w:r w:rsidR="00F4190C" w:rsidRPr="00762EAA">
        <w:rPr>
          <w:rFonts w:ascii="Arial" w:hAnsi="Arial" w:cs="Arial"/>
          <w:b/>
          <w:bCs/>
          <w:sz w:val="24"/>
          <w:szCs w:val="24"/>
        </w:rPr>
        <w:t>Justificación constitucional de los Tribunales de Justicia Administrativa.</w:t>
      </w:r>
      <w:r w:rsidR="008A48CB" w:rsidRPr="00762EAA">
        <w:rPr>
          <w:rFonts w:ascii="Arial" w:hAnsi="Arial" w:cs="Arial"/>
          <w:sz w:val="24"/>
          <w:szCs w:val="24"/>
        </w:rPr>
        <w:t xml:space="preserve"> El artículo 116, fracción</w:t>
      </w:r>
      <w:r w:rsidR="00474F3A" w:rsidRPr="00762EAA">
        <w:rPr>
          <w:rFonts w:ascii="Arial" w:hAnsi="Arial" w:cs="Arial"/>
          <w:sz w:val="24"/>
          <w:szCs w:val="24"/>
        </w:rPr>
        <w:t xml:space="preserve"> V</w:t>
      </w:r>
      <w:r w:rsidR="00BA7D38" w:rsidRPr="00762EAA">
        <w:rPr>
          <w:rFonts w:ascii="Arial" w:hAnsi="Arial" w:cs="Arial"/>
          <w:sz w:val="24"/>
          <w:szCs w:val="24"/>
        </w:rPr>
        <w:t>,</w:t>
      </w:r>
      <w:r w:rsidR="008A48CB" w:rsidRPr="00762EAA">
        <w:rPr>
          <w:rFonts w:ascii="Arial" w:hAnsi="Arial" w:cs="Arial"/>
          <w:sz w:val="24"/>
          <w:szCs w:val="24"/>
        </w:rPr>
        <w:t xml:space="preserve"> de la Constitución Política de los Estados Unidos Mexicanos</w:t>
      </w:r>
      <w:r w:rsidR="00BA7D38" w:rsidRPr="00762EAA">
        <w:rPr>
          <w:rFonts w:ascii="Arial" w:hAnsi="Arial" w:cs="Arial"/>
          <w:sz w:val="24"/>
          <w:szCs w:val="24"/>
        </w:rPr>
        <w:t>,</w:t>
      </w:r>
      <w:r w:rsidR="008A48CB" w:rsidRPr="00762EAA">
        <w:rPr>
          <w:rFonts w:ascii="Arial" w:hAnsi="Arial" w:cs="Arial"/>
          <w:sz w:val="24"/>
          <w:szCs w:val="24"/>
        </w:rPr>
        <w:t xml:space="preserve"> establece que </w:t>
      </w:r>
      <w:r w:rsidR="008A48CB" w:rsidRPr="00762EAA">
        <w:rPr>
          <w:rFonts w:ascii="Arial" w:hAnsi="Arial" w:cs="Arial"/>
          <w:bCs/>
          <w:sz w:val="24"/>
          <w:szCs w:val="24"/>
        </w:rPr>
        <w:t xml:space="preserve">las </w:t>
      </w:r>
      <w:r w:rsidR="00BA7D38" w:rsidRPr="00762EAA">
        <w:rPr>
          <w:rFonts w:ascii="Arial" w:hAnsi="Arial" w:cs="Arial"/>
          <w:bCs/>
          <w:sz w:val="24"/>
          <w:szCs w:val="24"/>
        </w:rPr>
        <w:t>c</w:t>
      </w:r>
      <w:r w:rsidR="008A48CB" w:rsidRPr="00762EAA">
        <w:rPr>
          <w:rFonts w:ascii="Arial" w:hAnsi="Arial" w:cs="Arial"/>
          <w:bCs/>
          <w:sz w:val="24"/>
          <w:szCs w:val="24"/>
        </w:rPr>
        <w:t xml:space="preserve">onstituciones y leyes de los Estados deberán instituir </w:t>
      </w:r>
      <w:r w:rsidR="00BA7D38" w:rsidRPr="00762EAA">
        <w:rPr>
          <w:rFonts w:ascii="Arial" w:hAnsi="Arial" w:cs="Arial"/>
          <w:bCs/>
          <w:sz w:val="24"/>
          <w:szCs w:val="24"/>
        </w:rPr>
        <w:t>t</w:t>
      </w:r>
      <w:r w:rsidR="008A48CB" w:rsidRPr="00762EAA">
        <w:rPr>
          <w:rFonts w:ascii="Arial" w:hAnsi="Arial" w:cs="Arial"/>
          <w:bCs/>
          <w:sz w:val="24"/>
          <w:szCs w:val="24"/>
        </w:rPr>
        <w:t xml:space="preserve">ribunales de </w:t>
      </w:r>
      <w:r w:rsidR="00BA7D38" w:rsidRPr="00762EAA">
        <w:rPr>
          <w:rFonts w:ascii="Arial" w:hAnsi="Arial" w:cs="Arial"/>
          <w:bCs/>
          <w:sz w:val="24"/>
          <w:szCs w:val="24"/>
        </w:rPr>
        <w:t>j</w:t>
      </w:r>
      <w:r w:rsidR="008A48CB" w:rsidRPr="00762EAA">
        <w:rPr>
          <w:rFonts w:ascii="Arial" w:hAnsi="Arial" w:cs="Arial"/>
          <w:bCs/>
          <w:sz w:val="24"/>
          <w:szCs w:val="24"/>
        </w:rPr>
        <w:t xml:space="preserve">usticia </w:t>
      </w:r>
      <w:r w:rsidR="00BA7D38" w:rsidRPr="00762EAA">
        <w:rPr>
          <w:rFonts w:ascii="Arial" w:hAnsi="Arial" w:cs="Arial"/>
          <w:bCs/>
          <w:sz w:val="24"/>
          <w:szCs w:val="24"/>
        </w:rPr>
        <w:t>a</w:t>
      </w:r>
      <w:r w:rsidR="008A48CB" w:rsidRPr="00762EAA">
        <w:rPr>
          <w:rFonts w:ascii="Arial" w:hAnsi="Arial" w:cs="Arial"/>
          <w:bCs/>
          <w:sz w:val="24"/>
          <w:szCs w:val="24"/>
        </w:rPr>
        <w:t xml:space="preserve">dministrativa, dotados de plena autonomía para dictar sus fallos y establecer su organización, funcionamiento, procedimientos y, en su caso, recursos contra sus resoluciones. </w:t>
      </w:r>
    </w:p>
    <w:p w14:paraId="7756D4BA" w14:textId="77777777" w:rsidR="004548BE" w:rsidRPr="00762EAA" w:rsidRDefault="004548BE" w:rsidP="004548BE">
      <w:pPr>
        <w:spacing w:after="0" w:line="360" w:lineRule="auto"/>
        <w:ind w:firstLine="709"/>
        <w:jc w:val="both"/>
        <w:rPr>
          <w:rFonts w:ascii="Arial" w:hAnsi="Arial" w:cs="Arial"/>
          <w:bCs/>
          <w:sz w:val="24"/>
          <w:szCs w:val="24"/>
        </w:rPr>
      </w:pPr>
    </w:p>
    <w:p w14:paraId="49459BC0" w14:textId="293AFB69" w:rsidR="00F4190C" w:rsidRPr="00762EAA" w:rsidRDefault="00F4190C" w:rsidP="004548BE">
      <w:pPr>
        <w:spacing w:after="0" w:line="360" w:lineRule="auto"/>
        <w:ind w:firstLine="709"/>
        <w:jc w:val="both"/>
        <w:rPr>
          <w:rFonts w:ascii="Arial" w:hAnsi="Arial" w:cs="Arial"/>
          <w:sz w:val="24"/>
          <w:szCs w:val="24"/>
        </w:rPr>
      </w:pPr>
      <w:r w:rsidRPr="00762EAA">
        <w:rPr>
          <w:rFonts w:ascii="Arial" w:hAnsi="Arial" w:cs="Arial"/>
          <w:b/>
          <w:sz w:val="24"/>
          <w:szCs w:val="24"/>
        </w:rPr>
        <w:t>II. Competencia.</w:t>
      </w:r>
      <w:r w:rsidRPr="00762EAA">
        <w:rPr>
          <w:rFonts w:ascii="Arial" w:hAnsi="Arial" w:cs="Arial"/>
          <w:bCs/>
          <w:sz w:val="24"/>
          <w:szCs w:val="24"/>
        </w:rPr>
        <w:t xml:space="preserve"> Por mandato d</w:t>
      </w:r>
      <w:r w:rsidR="008A48CB" w:rsidRPr="00762EAA">
        <w:rPr>
          <w:rFonts w:ascii="Arial" w:hAnsi="Arial" w:cs="Arial"/>
          <w:bCs/>
          <w:sz w:val="24"/>
          <w:szCs w:val="24"/>
        </w:rPr>
        <w:t>el artículo 39 bis de la Constitución Política del Estado de Chihuahua</w:t>
      </w:r>
      <w:r w:rsidR="00BA7D38" w:rsidRPr="00762EAA">
        <w:rPr>
          <w:rFonts w:ascii="Arial" w:hAnsi="Arial" w:cs="Arial"/>
          <w:bCs/>
          <w:sz w:val="24"/>
          <w:szCs w:val="24"/>
        </w:rPr>
        <w:t>,</w:t>
      </w:r>
      <w:r w:rsidR="008A48CB" w:rsidRPr="00762EAA">
        <w:rPr>
          <w:rFonts w:ascii="Arial" w:hAnsi="Arial" w:cs="Arial"/>
          <w:bCs/>
          <w:sz w:val="24"/>
          <w:szCs w:val="24"/>
        </w:rPr>
        <w:t xml:space="preserve"> </w:t>
      </w:r>
      <w:r w:rsidR="008A48CB" w:rsidRPr="00762EAA">
        <w:rPr>
          <w:rFonts w:ascii="Arial" w:hAnsi="Arial" w:cs="Arial"/>
          <w:sz w:val="24"/>
          <w:szCs w:val="24"/>
        </w:rPr>
        <w:t xml:space="preserve">el Tribunal Estatal de Justicia Administrativa es el órgano jurisdiccional dotado de plena autonomía para dictar sus fallos, encargado de </w:t>
      </w:r>
      <w:r w:rsidRPr="00762EAA">
        <w:rPr>
          <w:rFonts w:ascii="Arial" w:hAnsi="Arial" w:cs="Arial"/>
          <w:sz w:val="24"/>
          <w:szCs w:val="24"/>
        </w:rPr>
        <w:t>resolver los asuntos siguientes:</w:t>
      </w:r>
    </w:p>
    <w:p w14:paraId="38C95352" w14:textId="77777777" w:rsidR="00F4190C" w:rsidRPr="00762EAA" w:rsidRDefault="00F4190C" w:rsidP="004548BE">
      <w:pPr>
        <w:spacing w:after="0" w:line="360" w:lineRule="auto"/>
        <w:ind w:firstLine="709"/>
        <w:jc w:val="both"/>
        <w:rPr>
          <w:rFonts w:ascii="Arial" w:hAnsi="Arial" w:cs="Arial"/>
          <w:sz w:val="24"/>
          <w:szCs w:val="24"/>
        </w:rPr>
      </w:pPr>
    </w:p>
    <w:p w14:paraId="3FC30469" w14:textId="5F096EFB" w:rsidR="00F4190C" w:rsidRPr="00762EAA" w:rsidRDefault="00F4190C" w:rsidP="00E27C53">
      <w:pPr>
        <w:pStyle w:val="Prrafodelista"/>
        <w:numPr>
          <w:ilvl w:val="0"/>
          <w:numId w:val="7"/>
        </w:numPr>
        <w:spacing w:after="0" w:line="360" w:lineRule="auto"/>
        <w:jc w:val="both"/>
        <w:rPr>
          <w:rFonts w:ascii="Arial" w:hAnsi="Arial" w:cs="Arial"/>
          <w:bCs/>
          <w:sz w:val="24"/>
          <w:szCs w:val="24"/>
        </w:rPr>
      </w:pPr>
      <w:r w:rsidRPr="00762EAA">
        <w:rPr>
          <w:rFonts w:ascii="Arial" w:hAnsi="Arial" w:cs="Arial"/>
          <w:sz w:val="24"/>
          <w:szCs w:val="24"/>
        </w:rPr>
        <w:t xml:space="preserve">Dirimir las controversias que </w:t>
      </w:r>
      <w:r w:rsidR="008A48CB" w:rsidRPr="00762EAA">
        <w:rPr>
          <w:rFonts w:ascii="Arial" w:hAnsi="Arial" w:cs="Arial"/>
          <w:sz w:val="24"/>
          <w:szCs w:val="24"/>
        </w:rPr>
        <w:t>se susciten entre la administración pública, estatal y municipal, y l</w:t>
      </w:r>
      <w:r w:rsidRPr="00762EAA">
        <w:rPr>
          <w:rFonts w:ascii="Arial" w:hAnsi="Arial" w:cs="Arial"/>
          <w:sz w:val="24"/>
          <w:szCs w:val="24"/>
        </w:rPr>
        <w:t>as personas</w:t>
      </w:r>
      <w:r w:rsidR="008A48CB" w:rsidRPr="00762EAA">
        <w:rPr>
          <w:rFonts w:ascii="Arial" w:hAnsi="Arial" w:cs="Arial"/>
          <w:sz w:val="24"/>
          <w:szCs w:val="24"/>
        </w:rPr>
        <w:t xml:space="preserve"> particulares</w:t>
      </w:r>
      <w:r w:rsidR="00BA7D38" w:rsidRPr="00762EAA">
        <w:rPr>
          <w:rFonts w:ascii="Arial" w:hAnsi="Arial" w:cs="Arial"/>
          <w:sz w:val="24"/>
          <w:szCs w:val="24"/>
        </w:rPr>
        <w:t>.</w:t>
      </w:r>
      <w:r w:rsidR="008A48CB" w:rsidRPr="00762EAA">
        <w:rPr>
          <w:rFonts w:ascii="Arial" w:hAnsi="Arial" w:cs="Arial"/>
          <w:sz w:val="24"/>
          <w:szCs w:val="24"/>
        </w:rPr>
        <w:t xml:space="preserve"> </w:t>
      </w:r>
    </w:p>
    <w:p w14:paraId="7B51E23B" w14:textId="77777777" w:rsidR="00E27C53" w:rsidRPr="00762EAA" w:rsidRDefault="00E27C53" w:rsidP="00E27C53">
      <w:pPr>
        <w:pStyle w:val="Prrafodelista"/>
        <w:spacing w:after="0" w:line="360" w:lineRule="auto"/>
        <w:ind w:left="1069"/>
        <w:jc w:val="both"/>
        <w:rPr>
          <w:rFonts w:ascii="Arial" w:hAnsi="Arial" w:cs="Arial"/>
          <w:bCs/>
          <w:sz w:val="24"/>
          <w:szCs w:val="24"/>
        </w:rPr>
      </w:pPr>
    </w:p>
    <w:p w14:paraId="41A34283" w14:textId="274E119F" w:rsidR="00F4190C" w:rsidRPr="00762EAA" w:rsidRDefault="00F4190C" w:rsidP="00E27C53">
      <w:pPr>
        <w:pStyle w:val="Prrafodelista"/>
        <w:numPr>
          <w:ilvl w:val="0"/>
          <w:numId w:val="7"/>
        </w:numPr>
        <w:spacing w:after="0" w:line="360" w:lineRule="auto"/>
        <w:jc w:val="both"/>
        <w:rPr>
          <w:rFonts w:ascii="Arial" w:hAnsi="Arial" w:cs="Arial"/>
          <w:bCs/>
          <w:sz w:val="24"/>
          <w:szCs w:val="24"/>
        </w:rPr>
      </w:pPr>
      <w:r w:rsidRPr="00762EAA">
        <w:rPr>
          <w:rFonts w:ascii="Arial" w:hAnsi="Arial" w:cs="Arial"/>
          <w:sz w:val="24"/>
          <w:szCs w:val="24"/>
        </w:rPr>
        <w:t>I</w:t>
      </w:r>
      <w:r w:rsidR="008A48CB" w:rsidRPr="00762EAA">
        <w:rPr>
          <w:rFonts w:ascii="Arial" w:hAnsi="Arial" w:cs="Arial"/>
          <w:sz w:val="24"/>
          <w:szCs w:val="24"/>
        </w:rPr>
        <w:t xml:space="preserve">mponer las sanciones a las </w:t>
      </w:r>
      <w:r w:rsidRPr="00762EAA">
        <w:rPr>
          <w:rFonts w:ascii="Arial" w:hAnsi="Arial" w:cs="Arial"/>
          <w:sz w:val="24"/>
          <w:szCs w:val="24"/>
        </w:rPr>
        <w:t xml:space="preserve">personas servidoras públicas </w:t>
      </w:r>
      <w:r w:rsidR="008A48CB" w:rsidRPr="00762EAA">
        <w:rPr>
          <w:rFonts w:ascii="Arial" w:hAnsi="Arial" w:cs="Arial"/>
          <w:sz w:val="24"/>
          <w:szCs w:val="24"/>
        </w:rPr>
        <w:t>estatales y municipales por responsabilidad administrativa grave, y a l</w:t>
      </w:r>
      <w:r w:rsidRPr="00762EAA">
        <w:rPr>
          <w:rFonts w:ascii="Arial" w:hAnsi="Arial" w:cs="Arial"/>
          <w:sz w:val="24"/>
          <w:szCs w:val="24"/>
        </w:rPr>
        <w:t>as personas</w:t>
      </w:r>
      <w:r w:rsidR="008A48CB" w:rsidRPr="00762EAA">
        <w:rPr>
          <w:rFonts w:ascii="Arial" w:hAnsi="Arial" w:cs="Arial"/>
          <w:sz w:val="24"/>
          <w:szCs w:val="24"/>
        </w:rPr>
        <w:t xml:space="preserve"> particulares que incurran en actos vinculados con faltas administrativas graves</w:t>
      </w:r>
      <w:r w:rsidR="00BA7D38" w:rsidRPr="00762EAA">
        <w:rPr>
          <w:rFonts w:ascii="Arial" w:hAnsi="Arial" w:cs="Arial"/>
          <w:sz w:val="24"/>
          <w:szCs w:val="24"/>
        </w:rPr>
        <w:t>.</w:t>
      </w:r>
    </w:p>
    <w:p w14:paraId="1702D671" w14:textId="77777777" w:rsidR="00E27C53" w:rsidRPr="00762EAA" w:rsidRDefault="00E27C53" w:rsidP="00E27C53">
      <w:pPr>
        <w:spacing w:after="0" w:line="360" w:lineRule="auto"/>
        <w:jc w:val="both"/>
        <w:rPr>
          <w:rFonts w:ascii="Arial" w:hAnsi="Arial" w:cs="Arial"/>
          <w:bCs/>
          <w:sz w:val="24"/>
          <w:szCs w:val="24"/>
        </w:rPr>
      </w:pPr>
    </w:p>
    <w:p w14:paraId="6D9CF03E" w14:textId="0E764D92" w:rsidR="008A48CB" w:rsidRPr="00762EAA" w:rsidRDefault="00F4190C" w:rsidP="00E27C53">
      <w:pPr>
        <w:pStyle w:val="Prrafodelista"/>
        <w:numPr>
          <w:ilvl w:val="0"/>
          <w:numId w:val="7"/>
        </w:numPr>
        <w:spacing w:after="0" w:line="360" w:lineRule="auto"/>
        <w:jc w:val="both"/>
        <w:rPr>
          <w:rFonts w:ascii="Arial" w:hAnsi="Arial" w:cs="Arial"/>
          <w:bCs/>
          <w:sz w:val="24"/>
          <w:szCs w:val="24"/>
        </w:rPr>
      </w:pPr>
      <w:r w:rsidRPr="00762EAA">
        <w:rPr>
          <w:rFonts w:ascii="Arial" w:hAnsi="Arial" w:cs="Arial"/>
          <w:sz w:val="24"/>
          <w:szCs w:val="24"/>
        </w:rPr>
        <w:lastRenderedPageBreak/>
        <w:t>F</w:t>
      </w:r>
      <w:r w:rsidR="008A48CB" w:rsidRPr="00762EAA">
        <w:rPr>
          <w:rFonts w:ascii="Arial" w:hAnsi="Arial" w:cs="Arial"/>
          <w:sz w:val="24"/>
          <w:szCs w:val="24"/>
        </w:rPr>
        <w:t>incar a l</w:t>
      </w:r>
      <w:r w:rsidR="006A33B7" w:rsidRPr="00762EAA">
        <w:rPr>
          <w:rFonts w:ascii="Arial" w:hAnsi="Arial" w:cs="Arial"/>
          <w:sz w:val="24"/>
          <w:szCs w:val="24"/>
        </w:rPr>
        <w:t>as personas</w:t>
      </w:r>
      <w:r w:rsidR="008A48CB" w:rsidRPr="00762EAA">
        <w:rPr>
          <w:rFonts w:ascii="Arial" w:hAnsi="Arial" w:cs="Arial"/>
          <w:sz w:val="24"/>
          <w:szCs w:val="24"/>
        </w:rPr>
        <w:t xml:space="preserve"> responsables el pago de las indemnizaciones y sanciones pecuniarias que deriven de los daños y perjuicios que afecten a la hacienda pública estatal o municipal</w:t>
      </w:r>
      <w:r w:rsidR="006A33B7" w:rsidRPr="00762EAA">
        <w:rPr>
          <w:rFonts w:ascii="Arial" w:hAnsi="Arial" w:cs="Arial"/>
          <w:sz w:val="24"/>
          <w:szCs w:val="24"/>
        </w:rPr>
        <w:t xml:space="preserve">, </w:t>
      </w:r>
      <w:r w:rsidR="008A48CB" w:rsidRPr="00762EAA">
        <w:rPr>
          <w:rFonts w:ascii="Arial" w:hAnsi="Arial" w:cs="Arial"/>
          <w:sz w:val="24"/>
          <w:szCs w:val="24"/>
        </w:rPr>
        <w:t xml:space="preserve">o al patrimonio de los entes públicos estatales o municipales. </w:t>
      </w:r>
    </w:p>
    <w:p w14:paraId="38138707" w14:textId="4E73FF6A" w:rsidR="00583AD2" w:rsidRPr="00762EAA" w:rsidRDefault="00583AD2" w:rsidP="00583AD2">
      <w:pPr>
        <w:spacing w:after="0" w:line="360" w:lineRule="auto"/>
        <w:ind w:firstLine="709"/>
        <w:jc w:val="both"/>
        <w:rPr>
          <w:rFonts w:ascii="Arial" w:hAnsi="Arial" w:cs="Arial"/>
          <w:sz w:val="24"/>
          <w:szCs w:val="24"/>
        </w:rPr>
      </w:pPr>
    </w:p>
    <w:p w14:paraId="38DF2771" w14:textId="77777777" w:rsidR="00583AD2" w:rsidRPr="00762EAA" w:rsidRDefault="00583AD2" w:rsidP="00583AD2">
      <w:pPr>
        <w:spacing w:after="0" w:line="360" w:lineRule="auto"/>
        <w:ind w:firstLine="709"/>
        <w:jc w:val="both"/>
        <w:rPr>
          <w:rFonts w:ascii="Arial" w:hAnsi="Arial" w:cs="Arial"/>
          <w:sz w:val="24"/>
          <w:szCs w:val="24"/>
        </w:rPr>
      </w:pPr>
      <w:r w:rsidRPr="00762EAA">
        <w:rPr>
          <w:rFonts w:ascii="Arial" w:hAnsi="Arial" w:cs="Arial"/>
          <w:sz w:val="24"/>
          <w:szCs w:val="24"/>
        </w:rPr>
        <w:t>Asimismo, instruye que será en la ley donde se establecerá su organización, funcionamiento, integración, procedimientos y, en su caso, recursos contra sus resoluciones.</w:t>
      </w:r>
    </w:p>
    <w:p w14:paraId="38B95DCE" w14:textId="77777777" w:rsidR="008A48CB" w:rsidRPr="00762EAA" w:rsidRDefault="008A48CB" w:rsidP="008A48CB">
      <w:pPr>
        <w:spacing w:after="0" w:line="360" w:lineRule="auto"/>
        <w:ind w:firstLine="709"/>
        <w:jc w:val="both"/>
        <w:rPr>
          <w:rFonts w:ascii="Arial" w:hAnsi="Arial" w:cs="Arial"/>
          <w:sz w:val="24"/>
          <w:szCs w:val="24"/>
        </w:rPr>
      </w:pPr>
    </w:p>
    <w:p w14:paraId="170568D1" w14:textId="75500BD1" w:rsidR="004548BE" w:rsidRPr="00762EAA" w:rsidRDefault="00F4190C" w:rsidP="00224E4D">
      <w:pPr>
        <w:spacing w:after="0" w:line="360" w:lineRule="auto"/>
        <w:ind w:firstLine="709"/>
        <w:jc w:val="both"/>
        <w:rPr>
          <w:rFonts w:ascii="Arial" w:hAnsi="Arial" w:cs="Arial"/>
          <w:bCs/>
          <w:sz w:val="24"/>
          <w:szCs w:val="24"/>
        </w:rPr>
      </w:pPr>
      <w:r w:rsidRPr="00762EAA">
        <w:rPr>
          <w:rFonts w:ascii="Arial" w:hAnsi="Arial" w:cs="Arial"/>
          <w:b/>
          <w:sz w:val="24"/>
          <w:szCs w:val="24"/>
        </w:rPr>
        <w:t>I</w:t>
      </w:r>
      <w:r w:rsidR="004548BE" w:rsidRPr="00762EAA">
        <w:rPr>
          <w:rFonts w:ascii="Arial" w:hAnsi="Arial" w:cs="Arial"/>
          <w:b/>
          <w:sz w:val="24"/>
          <w:szCs w:val="24"/>
        </w:rPr>
        <w:t>II</w:t>
      </w:r>
      <w:r w:rsidR="008A48CB" w:rsidRPr="00762EAA">
        <w:rPr>
          <w:rFonts w:ascii="Arial" w:hAnsi="Arial" w:cs="Arial"/>
          <w:b/>
          <w:sz w:val="24"/>
          <w:szCs w:val="24"/>
        </w:rPr>
        <w:t>.</w:t>
      </w:r>
      <w:r w:rsidR="004548BE" w:rsidRPr="00762EAA">
        <w:rPr>
          <w:rFonts w:ascii="Arial" w:hAnsi="Arial" w:cs="Arial"/>
          <w:b/>
          <w:sz w:val="24"/>
          <w:szCs w:val="24"/>
        </w:rPr>
        <w:t xml:space="preserve"> </w:t>
      </w:r>
      <w:r w:rsidRPr="00762EAA">
        <w:rPr>
          <w:rFonts w:ascii="Arial" w:hAnsi="Arial" w:cs="Arial"/>
          <w:b/>
          <w:sz w:val="24"/>
          <w:szCs w:val="24"/>
        </w:rPr>
        <w:t xml:space="preserve">Sobre el Pleno y sus atribuciones. </w:t>
      </w:r>
      <w:r w:rsidR="00474F3A" w:rsidRPr="00762EAA">
        <w:rPr>
          <w:rFonts w:ascii="Arial" w:hAnsi="Arial" w:cs="Arial"/>
          <w:bCs/>
          <w:sz w:val="24"/>
          <w:szCs w:val="24"/>
        </w:rPr>
        <w:t xml:space="preserve">El </w:t>
      </w:r>
      <w:r w:rsidR="008A48CB" w:rsidRPr="00762EAA">
        <w:rPr>
          <w:rFonts w:ascii="Arial" w:hAnsi="Arial" w:cs="Arial"/>
          <w:bCs/>
          <w:sz w:val="24"/>
          <w:szCs w:val="24"/>
        </w:rPr>
        <w:t xml:space="preserve">artículo 9 de la Ley Orgánica del Tribunal Estatal de Justicia Administrativa </w:t>
      </w:r>
      <w:r w:rsidR="00474F3A" w:rsidRPr="00762EAA">
        <w:rPr>
          <w:rFonts w:ascii="Arial" w:hAnsi="Arial" w:cs="Arial"/>
          <w:bCs/>
          <w:sz w:val="24"/>
          <w:szCs w:val="24"/>
        </w:rPr>
        <w:t xml:space="preserve">indica que </w:t>
      </w:r>
      <w:r w:rsidR="008A48CB" w:rsidRPr="00762EAA">
        <w:rPr>
          <w:rFonts w:ascii="Arial" w:hAnsi="Arial" w:cs="Arial"/>
          <w:bCs/>
          <w:sz w:val="24"/>
          <w:szCs w:val="24"/>
        </w:rPr>
        <w:t xml:space="preserve">el Pleno se integrará por la totalidad de las </w:t>
      </w:r>
      <w:r w:rsidR="00C8542A" w:rsidRPr="00762EAA">
        <w:rPr>
          <w:rFonts w:ascii="Arial" w:hAnsi="Arial" w:cs="Arial"/>
          <w:bCs/>
          <w:sz w:val="24"/>
          <w:szCs w:val="24"/>
        </w:rPr>
        <w:t>M</w:t>
      </w:r>
      <w:r w:rsidR="008A48CB" w:rsidRPr="00762EAA">
        <w:rPr>
          <w:rFonts w:ascii="Arial" w:hAnsi="Arial" w:cs="Arial"/>
          <w:bCs/>
          <w:sz w:val="24"/>
          <w:szCs w:val="24"/>
        </w:rPr>
        <w:t xml:space="preserve">agistraturas y, de conformidad con sus </w:t>
      </w:r>
      <w:r w:rsidR="00A26495" w:rsidRPr="00762EAA">
        <w:rPr>
          <w:rFonts w:ascii="Arial" w:hAnsi="Arial" w:cs="Arial"/>
          <w:bCs/>
          <w:sz w:val="24"/>
          <w:szCs w:val="24"/>
        </w:rPr>
        <w:t>fracciones</w:t>
      </w:r>
      <w:r w:rsidR="00002625" w:rsidRPr="00762EAA">
        <w:rPr>
          <w:rFonts w:ascii="Arial" w:hAnsi="Arial" w:cs="Arial"/>
          <w:bCs/>
          <w:sz w:val="24"/>
          <w:szCs w:val="24"/>
        </w:rPr>
        <w:t xml:space="preserve"> </w:t>
      </w:r>
      <w:r w:rsidR="00224E4D" w:rsidRPr="00762EAA">
        <w:rPr>
          <w:rFonts w:ascii="Arial" w:hAnsi="Arial" w:cs="Arial"/>
          <w:bCs/>
          <w:sz w:val="24"/>
          <w:szCs w:val="24"/>
        </w:rPr>
        <w:t>XVII</w:t>
      </w:r>
      <w:r w:rsidR="00333324" w:rsidRPr="00762EAA">
        <w:rPr>
          <w:rFonts w:ascii="Arial" w:hAnsi="Arial" w:cs="Arial"/>
          <w:bCs/>
          <w:sz w:val="24"/>
          <w:szCs w:val="24"/>
        </w:rPr>
        <w:t>,</w:t>
      </w:r>
      <w:r w:rsidR="00002625" w:rsidRPr="00762EAA">
        <w:rPr>
          <w:rFonts w:ascii="Arial" w:hAnsi="Arial" w:cs="Arial"/>
          <w:bCs/>
          <w:sz w:val="24"/>
          <w:szCs w:val="24"/>
        </w:rPr>
        <w:t xml:space="preserve"> XXV</w:t>
      </w:r>
      <w:r w:rsidR="00333324" w:rsidRPr="00762EAA">
        <w:rPr>
          <w:rFonts w:ascii="Arial" w:hAnsi="Arial" w:cs="Arial"/>
          <w:bCs/>
          <w:sz w:val="24"/>
          <w:szCs w:val="24"/>
        </w:rPr>
        <w:t xml:space="preserve"> y XXXII, </w:t>
      </w:r>
      <w:r w:rsidR="004548BE" w:rsidRPr="00762EAA">
        <w:rPr>
          <w:rFonts w:ascii="Arial" w:hAnsi="Arial" w:cs="Arial"/>
          <w:bCs/>
          <w:sz w:val="24"/>
          <w:szCs w:val="24"/>
        </w:rPr>
        <w:t>entre las facultades de ese órgano máximo, se encuentran las siguientes:</w:t>
      </w:r>
      <w:r w:rsidR="00002625" w:rsidRPr="00762EAA">
        <w:rPr>
          <w:rFonts w:ascii="Arial" w:hAnsi="Arial" w:cs="Arial"/>
          <w:bCs/>
          <w:sz w:val="24"/>
          <w:szCs w:val="24"/>
        </w:rPr>
        <w:t xml:space="preserve"> </w:t>
      </w:r>
    </w:p>
    <w:p w14:paraId="2A9CC893" w14:textId="77777777" w:rsidR="004548BE" w:rsidRPr="00762EAA" w:rsidRDefault="004548BE" w:rsidP="00224E4D">
      <w:pPr>
        <w:spacing w:after="0" w:line="360" w:lineRule="auto"/>
        <w:ind w:firstLine="709"/>
        <w:jc w:val="both"/>
        <w:rPr>
          <w:rFonts w:ascii="Arial" w:hAnsi="Arial" w:cs="Arial"/>
          <w:bCs/>
          <w:sz w:val="24"/>
          <w:szCs w:val="24"/>
        </w:rPr>
      </w:pPr>
    </w:p>
    <w:p w14:paraId="768F1C0A" w14:textId="280C29F2" w:rsidR="004548BE" w:rsidRPr="00762EAA" w:rsidRDefault="004548BE" w:rsidP="00E27C53">
      <w:pPr>
        <w:pStyle w:val="Prrafodelista"/>
        <w:numPr>
          <w:ilvl w:val="0"/>
          <w:numId w:val="6"/>
        </w:numPr>
        <w:spacing w:after="0" w:line="360" w:lineRule="auto"/>
        <w:jc w:val="both"/>
        <w:rPr>
          <w:rFonts w:ascii="Arial" w:hAnsi="Arial" w:cs="Arial"/>
          <w:sz w:val="24"/>
          <w:szCs w:val="24"/>
        </w:rPr>
      </w:pPr>
      <w:r w:rsidRPr="00762EAA">
        <w:rPr>
          <w:rFonts w:ascii="Arial" w:hAnsi="Arial" w:cs="Arial"/>
          <w:sz w:val="24"/>
          <w:szCs w:val="24"/>
        </w:rPr>
        <w:t>D</w:t>
      </w:r>
      <w:r w:rsidR="00224E4D" w:rsidRPr="00762EAA">
        <w:rPr>
          <w:rFonts w:ascii="Arial" w:hAnsi="Arial" w:cs="Arial"/>
          <w:sz w:val="24"/>
          <w:szCs w:val="24"/>
        </w:rPr>
        <w:t>irigir las labores</w:t>
      </w:r>
      <w:r w:rsidR="00333324" w:rsidRPr="00762EAA">
        <w:rPr>
          <w:rFonts w:ascii="Arial" w:hAnsi="Arial" w:cs="Arial"/>
          <w:sz w:val="24"/>
          <w:szCs w:val="24"/>
        </w:rPr>
        <w:t xml:space="preserve"> de este órgano jurisdiccional</w:t>
      </w:r>
      <w:r w:rsidR="00224E4D" w:rsidRPr="00762EAA">
        <w:rPr>
          <w:rFonts w:ascii="Arial" w:hAnsi="Arial" w:cs="Arial"/>
          <w:sz w:val="24"/>
          <w:szCs w:val="24"/>
        </w:rPr>
        <w:t xml:space="preserve">, </w:t>
      </w:r>
      <w:r w:rsidR="007A612C" w:rsidRPr="00762EAA">
        <w:rPr>
          <w:rFonts w:ascii="Arial" w:hAnsi="Arial" w:cs="Arial"/>
          <w:sz w:val="24"/>
          <w:szCs w:val="24"/>
        </w:rPr>
        <w:t xml:space="preserve">dictando </w:t>
      </w:r>
      <w:r w:rsidR="00224E4D" w:rsidRPr="00762EAA">
        <w:rPr>
          <w:rFonts w:ascii="Arial" w:hAnsi="Arial" w:cs="Arial"/>
          <w:sz w:val="24"/>
          <w:szCs w:val="24"/>
        </w:rPr>
        <w:t>las medidas necesarias para el despacho pronto y expedito de sus asuntos administrativos</w:t>
      </w:r>
      <w:r w:rsidR="00BA7D38" w:rsidRPr="00762EAA">
        <w:rPr>
          <w:rFonts w:ascii="Arial" w:hAnsi="Arial" w:cs="Arial"/>
          <w:sz w:val="24"/>
          <w:szCs w:val="24"/>
        </w:rPr>
        <w:t>.</w:t>
      </w:r>
    </w:p>
    <w:p w14:paraId="39246913" w14:textId="77777777" w:rsidR="004548BE" w:rsidRPr="00762EAA" w:rsidRDefault="004548BE" w:rsidP="00224E4D">
      <w:pPr>
        <w:spacing w:after="0" w:line="360" w:lineRule="auto"/>
        <w:ind w:firstLine="709"/>
        <w:jc w:val="both"/>
        <w:rPr>
          <w:rFonts w:ascii="Arial" w:hAnsi="Arial" w:cs="Arial"/>
          <w:sz w:val="24"/>
          <w:szCs w:val="24"/>
        </w:rPr>
      </w:pPr>
    </w:p>
    <w:p w14:paraId="0C8FBB2D" w14:textId="140BDB4A" w:rsidR="00333324" w:rsidRPr="00762EAA" w:rsidRDefault="004548BE" w:rsidP="00333324">
      <w:pPr>
        <w:pStyle w:val="Prrafodelista"/>
        <w:numPr>
          <w:ilvl w:val="0"/>
          <w:numId w:val="6"/>
        </w:numPr>
        <w:spacing w:after="0" w:line="360" w:lineRule="auto"/>
        <w:jc w:val="both"/>
        <w:rPr>
          <w:rFonts w:ascii="Arial" w:hAnsi="Arial" w:cs="Arial"/>
          <w:sz w:val="24"/>
          <w:szCs w:val="24"/>
        </w:rPr>
      </w:pPr>
      <w:r w:rsidRPr="00762EAA">
        <w:rPr>
          <w:rFonts w:ascii="Arial" w:hAnsi="Arial" w:cs="Arial"/>
          <w:sz w:val="24"/>
          <w:szCs w:val="24"/>
        </w:rPr>
        <w:t>E</w:t>
      </w:r>
      <w:r w:rsidR="00002625" w:rsidRPr="00762EAA">
        <w:rPr>
          <w:rFonts w:ascii="Arial" w:hAnsi="Arial" w:cs="Arial"/>
          <w:sz w:val="24"/>
          <w:szCs w:val="24"/>
        </w:rPr>
        <w:t>xpedir los acuerdos necesarios para el buen funcionamiento de</w:t>
      </w:r>
      <w:r w:rsidR="00333324" w:rsidRPr="00762EAA">
        <w:rPr>
          <w:rFonts w:ascii="Arial" w:hAnsi="Arial" w:cs="Arial"/>
          <w:sz w:val="24"/>
          <w:szCs w:val="24"/>
        </w:rPr>
        <w:t xml:space="preserve"> este órgano jurisdiccional</w:t>
      </w:r>
      <w:r w:rsidR="00BA7D38" w:rsidRPr="00762EAA">
        <w:rPr>
          <w:rFonts w:ascii="Arial" w:hAnsi="Arial" w:cs="Arial"/>
          <w:sz w:val="24"/>
          <w:szCs w:val="24"/>
        </w:rPr>
        <w:t>.</w:t>
      </w:r>
    </w:p>
    <w:p w14:paraId="29B9712E" w14:textId="77777777" w:rsidR="00333324" w:rsidRPr="00762EAA" w:rsidRDefault="00333324" w:rsidP="00333324">
      <w:pPr>
        <w:pStyle w:val="Prrafodelista"/>
        <w:rPr>
          <w:rFonts w:ascii="Arial" w:hAnsi="Arial" w:cs="Arial"/>
          <w:sz w:val="24"/>
          <w:szCs w:val="24"/>
        </w:rPr>
      </w:pPr>
    </w:p>
    <w:p w14:paraId="57B73001" w14:textId="1B4981B4" w:rsidR="00333324" w:rsidRPr="00762EAA" w:rsidRDefault="00333324" w:rsidP="00333324">
      <w:pPr>
        <w:pStyle w:val="Prrafodelista"/>
        <w:numPr>
          <w:ilvl w:val="0"/>
          <w:numId w:val="6"/>
        </w:numPr>
        <w:spacing w:after="0" w:line="360" w:lineRule="auto"/>
        <w:jc w:val="both"/>
        <w:rPr>
          <w:rFonts w:ascii="Arial" w:hAnsi="Arial" w:cs="Arial"/>
          <w:sz w:val="24"/>
          <w:szCs w:val="24"/>
        </w:rPr>
      </w:pPr>
      <w:r w:rsidRPr="00762EAA">
        <w:rPr>
          <w:rFonts w:ascii="Arial" w:hAnsi="Arial" w:cs="Arial"/>
          <w:sz w:val="24"/>
          <w:szCs w:val="24"/>
        </w:rPr>
        <w:t>Emitir las medidas necesarias para garantizar los principios de la función que les ha sido encomendada.</w:t>
      </w:r>
    </w:p>
    <w:p w14:paraId="76079667" w14:textId="77777777" w:rsidR="00333324" w:rsidRPr="00762EAA" w:rsidRDefault="00333324" w:rsidP="00333324">
      <w:pPr>
        <w:spacing w:after="0" w:line="360" w:lineRule="auto"/>
        <w:jc w:val="both"/>
        <w:rPr>
          <w:rFonts w:ascii="Arial" w:hAnsi="Arial" w:cs="Arial"/>
          <w:sz w:val="24"/>
          <w:szCs w:val="24"/>
        </w:rPr>
      </w:pPr>
    </w:p>
    <w:p w14:paraId="228A7F1C" w14:textId="5BA26DA1" w:rsidR="00CE71C4" w:rsidRPr="00762EAA" w:rsidRDefault="00CE71C4" w:rsidP="00CE71C4">
      <w:pPr>
        <w:spacing w:after="0" w:line="360" w:lineRule="auto"/>
        <w:ind w:firstLine="709"/>
        <w:jc w:val="both"/>
        <w:rPr>
          <w:rFonts w:ascii="Arial" w:hAnsi="Arial" w:cs="Arial"/>
          <w:sz w:val="24"/>
          <w:szCs w:val="24"/>
        </w:rPr>
      </w:pPr>
      <w:r w:rsidRPr="00762EAA">
        <w:rPr>
          <w:rFonts w:ascii="Arial" w:hAnsi="Arial" w:cs="Arial"/>
          <w:b/>
          <w:sz w:val="24"/>
          <w:szCs w:val="24"/>
        </w:rPr>
        <w:t>I</w:t>
      </w:r>
      <w:r w:rsidR="00E27C53" w:rsidRPr="00762EAA">
        <w:rPr>
          <w:rFonts w:ascii="Arial" w:hAnsi="Arial" w:cs="Arial"/>
          <w:b/>
          <w:sz w:val="24"/>
          <w:szCs w:val="24"/>
        </w:rPr>
        <w:t>V</w:t>
      </w:r>
      <w:r w:rsidR="00224E4D" w:rsidRPr="00762EAA">
        <w:rPr>
          <w:rFonts w:ascii="Arial" w:hAnsi="Arial" w:cs="Arial"/>
          <w:b/>
          <w:sz w:val="24"/>
          <w:szCs w:val="24"/>
        </w:rPr>
        <w:t>.</w:t>
      </w:r>
      <w:r w:rsidR="006A33B7" w:rsidRPr="00762EAA">
        <w:rPr>
          <w:rFonts w:ascii="Arial" w:hAnsi="Arial" w:cs="Arial"/>
          <w:b/>
          <w:sz w:val="24"/>
          <w:szCs w:val="24"/>
        </w:rPr>
        <w:t xml:space="preserve"> </w:t>
      </w:r>
      <w:r w:rsidRPr="00762EAA">
        <w:rPr>
          <w:rFonts w:ascii="Arial" w:hAnsi="Arial" w:cs="Arial"/>
          <w:b/>
          <w:sz w:val="24"/>
          <w:szCs w:val="24"/>
        </w:rPr>
        <w:t>Disposiciones relativas al calendario oficial de labores.</w:t>
      </w:r>
      <w:r w:rsidRPr="00762EAA">
        <w:rPr>
          <w:rFonts w:ascii="Arial" w:hAnsi="Arial" w:cs="Arial"/>
          <w:bCs/>
          <w:sz w:val="24"/>
          <w:szCs w:val="24"/>
        </w:rPr>
        <w:t xml:space="preserve"> Por otro lado, </w:t>
      </w:r>
      <w:r w:rsidRPr="00762EAA">
        <w:rPr>
          <w:rFonts w:ascii="Arial" w:hAnsi="Arial" w:cs="Arial"/>
          <w:sz w:val="24"/>
          <w:szCs w:val="24"/>
        </w:rPr>
        <w:t>el artículo 24 del ordenamiento invocado establece que el personal de este órgano jurisdiccional tendrá cada año dos periodos de vacaciones, que coincidirán con los que sean acordados por el Poder Judicial del Estado y</w:t>
      </w:r>
      <w:r w:rsidR="00BA7D38" w:rsidRPr="00762EAA">
        <w:rPr>
          <w:rFonts w:ascii="Arial" w:hAnsi="Arial" w:cs="Arial"/>
          <w:sz w:val="24"/>
          <w:szCs w:val="24"/>
        </w:rPr>
        <w:t>,</w:t>
      </w:r>
      <w:r w:rsidRPr="00762EAA">
        <w:rPr>
          <w:rFonts w:ascii="Arial" w:hAnsi="Arial" w:cs="Arial"/>
          <w:sz w:val="24"/>
          <w:szCs w:val="24"/>
        </w:rPr>
        <w:t xml:space="preserve"> que el Pleno cuenta con la atribución para determinar los días en que se suspenderán las labores generales del mismo</w:t>
      </w:r>
      <w:r w:rsidR="00BA7D38" w:rsidRPr="00762EAA">
        <w:rPr>
          <w:rFonts w:ascii="Arial" w:hAnsi="Arial" w:cs="Arial"/>
          <w:sz w:val="24"/>
          <w:szCs w:val="24"/>
        </w:rPr>
        <w:t>,</w:t>
      </w:r>
      <w:r w:rsidRPr="00762EAA">
        <w:rPr>
          <w:rFonts w:ascii="Arial" w:hAnsi="Arial" w:cs="Arial"/>
          <w:sz w:val="24"/>
          <w:szCs w:val="24"/>
        </w:rPr>
        <w:t xml:space="preserve"> las horas hábiles para que la Oficialía de Partes pueda recibir promociones, así como para el resto de sus actividades jurisdiccionales.</w:t>
      </w:r>
    </w:p>
    <w:p w14:paraId="2EDA211E" w14:textId="77777777" w:rsidR="004360ED" w:rsidRPr="00762EAA" w:rsidRDefault="004360ED" w:rsidP="00CE71C4">
      <w:pPr>
        <w:spacing w:after="0" w:line="360" w:lineRule="auto"/>
        <w:ind w:firstLine="709"/>
        <w:jc w:val="both"/>
        <w:rPr>
          <w:rFonts w:ascii="Arial" w:hAnsi="Arial" w:cs="Arial"/>
          <w:sz w:val="24"/>
          <w:szCs w:val="24"/>
        </w:rPr>
      </w:pPr>
    </w:p>
    <w:p w14:paraId="70095873" w14:textId="620DE765" w:rsidR="004360ED" w:rsidRPr="00762EAA" w:rsidRDefault="004360ED" w:rsidP="00CE71C4">
      <w:pPr>
        <w:spacing w:after="0" w:line="360" w:lineRule="auto"/>
        <w:ind w:firstLine="709"/>
        <w:jc w:val="both"/>
        <w:rPr>
          <w:rFonts w:ascii="Arial" w:hAnsi="Arial" w:cs="Arial"/>
          <w:sz w:val="24"/>
          <w:szCs w:val="24"/>
        </w:rPr>
      </w:pPr>
      <w:r w:rsidRPr="00762EAA">
        <w:rPr>
          <w:rFonts w:ascii="Arial" w:hAnsi="Arial" w:cs="Arial"/>
          <w:sz w:val="24"/>
          <w:szCs w:val="24"/>
        </w:rPr>
        <w:t>Asimismo, el párrafo segundo del precepto invocado, así como el 31, párrafo cuarto</w:t>
      </w:r>
      <w:r w:rsidR="00BA7D38" w:rsidRPr="00762EAA">
        <w:rPr>
          <w:rFonts w:ascii="Arial" w:hAnsi="Arial" w:cs="Arial"/>
          <w:sz w:val="24"/>
          <w:szCs w:val="24"/>
        </w:rPr>
        <w:t>,</w:t>
      </w:r>
      <w:r w:rsidRPr="00762EAA">
        <w:rPr>
          <w:rFonts w:ascii="Arial" w:hAnsi="Arial" w:cs="Arial"/>
          <w:sz w:val="24"/>
          <w:szCs w:val="24"/>
        </w:rPr>
        <w:t xml:space="preserve"> de la Ley de Justicia Administrativa del Estado, establecen que durante dicha temporalidad se suspenderán las labores generales de este órgano jurisdiccional y no correrán los plazos legales.</w:t>
      </w:r>
    </w:p>
    <w:p w14:paraId="76D67A95" w14:textId="77777777" w:rsidR="004360ED" w:rsidRPr="00762EAA" w:rsidRDefault="004360ED" w:rsidP="00CE71C4">
      <w:pPr>
        <w:spacing w:after="0" w:line="360" w:lineRule="auto"/>
        <w:ind w:firstLine="709"/>
        <w:jc w:val="both"/>
        <w:rPr>
          <w:rFonts w:ascii="Arial" w:hAnsi="Arial" w:cs="Arial"/>
          <w:sz w:val="24"/>
          <w:szCs w:val="24"/>
        </w:rPr>
      </w:pPr>
    </w:p>
    <w:p w14:paraId="75E7C82D" w14:textId="38452270" w:rsidR="004360ED" w:rsidRPr="00762EAA" w:rsidRDefault="004360ED" w:rsidP="00CE71C4">
      <w:pPr>
        <w:spacing w:after="0" w:line="360" w:lineRule="auto"/>
        <w:ind w:firstLine="709"/>
        <w:jc w:val="both"/>
        <w:rPr>
          <w:rFonts w:ascii="Arial" w:hAnsi="Arial" w:cs="Arial"/>
          <w:sz w:val="24"/>
          <w:szCs w:val="24"/>
        </w:rPr>
      </w:pPr>
      <w:r w:rsidRPr="00762EAA">
        <w:rPr>
          <w:rFonts w:ascii="Arial" w:hAnsi="Arial" w:cs="Arial"/>
          <w:sz w:val="24"/>
          <w:szCs w:val="24"/>
        </w:rPr>
        <w:t xml:space="preserve">En ese sentido, el Pleno proveerá que se designe a quienes se harán cargo de la Magistratura, Secretaría de Acuerdos y Oficialía jurisdiccional, para </w:t>
      </w:r>
      <w:r w:rsidR="00BA7D38" w:rsidRPr="00762EAA">
        <w:rPr>
          <w:rFonts w:ascii="Arial" w:hAnsi="Arial" w:cs="Arial"/>
          <w:sz w:val="24"/>
          <w:szCs w:val="24"/>
        </w:rPr>
        <w:t>a</w:t>
      </w:r>
      <w:r w:rsidRPr="00762EAA">
        <w:rPr>
          <w:rFonts w:ascii="Arial" w:hAnsi="Arial" w:cs="Arial"/>
          <w:sz w:val="24"/>
          <w:szCs w:val="24"/>
        </w:rPr>
        <w:t>tender y resolver, en los casos urgentes que no admitan demora, las medidas cautelares y de suspensión, en término</w:t>
      </w:r>
      <w:r w:rsidR="00BA7D38" w:rsidRPr="00762EAA">
        <w:rPr>
          <w:rFonts w:ascii="Arial" w:hAnsi="Arial" w:cs="Arial"/>
          <w:sz w:val="24"/>
          <w:szCs w:val="24"/>
        </w:rPr>
        <w:t>s</w:t>
      </w:r>
      <w:r w:rsidRPr="00762EAA">
        <w:rPr>
          <w:rFonts w:ascii="Arial" w:hAnsi="Arial" w:cs="Arial"/>
          <w:sz w:val="24"/>
          <w:szCs w:val="24"/>
        </w:rPr>
        <w:t xml:space="preserve"> de lo establecido en la legislación procesal; lo anterior, como una medida para salvaguardar el derecho de acceso a una justicia pronta de las personas justiciables, tratándose de tales peticiones urgentes. </w:t>
      </w:r>
    </w:p>
    <w:p w14:paraId="19997A68" w14:textId="77777777" w:rsidR="004360ED" w:rsidRPr="00762EAA" w:rsidRDefault="004360ED" w:rsidP="00CE71C4">
      <w:pPr>
        <w:spacing w:after="0" w:line="360" w:lineRule="auto"/>
        <w:ind w:firstLine="709"/>
        <w:jc w:val="both"/>
        <w:rPr>
          <w:rFonts w:ascii="Arial" w:hAnsi="Arial" w:cs="Arial"/>
          <w:sz w:val="24"/>
          <w:szCs w:val="24"/>
        </w:rPr>
      </w:pPr>
    </w:p>
    <w:p w14:paraId="19FBF427" w14:textId="758C0B0C" w:rsidR="004360ED" w:rsidRPr="00762EAA" w:rsidRDefault="00EC351E" w:rsidP="00CE71C4">
      <w:pPr>
        <w:spacing w:after="0" w:line="360" w:lineRule="auto"/>
        <w:ind w:firstLine="709"/>
        <w:jc w:val="both"/>
        <w:rPr>
          <w:rFonts w:ascii="Arial" w:hAnsi="Arial" w:cs="Arial"/>
          <w:sz w:val="24"/>
          <w:szCs w:val="24"/>
        </w:rPr>
      </w:pPr>
      <w:r w:rsidRPr="00762EAA">
        <w:rPr>
          <w:rFonts w:ascii="Arial" w:hAnsi="Arial" w:cs="Arial"/>
          <w:sz w:val="24"/>
          <w:szCs w:val="24"/>
        </w:rPr>
        <w:t>Por tanto, se adoptará el rol interno que se ha seguido por acuerdo de las personas titulares de las Magistraturas, para establecer las Salas que habrán de cubrir las guardias respectivas.</w:t>
      </w:r>
    </w:p>
    <w:p w14:paraId="363B1157" w14:textId="77777777" w:rsidR="00CE71C4" w:rsidRPr="00762EAA" w:rsidRDefault="00CE71C4" w:rsidP="00CE71C4">
      <w:pPr>
        <w:spacing w:after="0" w:line="360" w:lineRule="auto"/>
        <w:ind w:firstLine="709"/>
        <w:jc w:val="both"/>
        <w:rPr>
          <w:rFonts w:ascii="Arial" w:hAnsi="Arial" w:cs="Arial"/>
          <w:sz w:val="24"/>
          <w:szCs w:val="24"/>
        </w:rPr>
      </w:pPr>
    </w:p>
    <w:p w14:paraId="13150AFA" w14:textId="0B893D3E" w:rsidR="00CE71C4" w:rsidRPr="00762EAA" w:rsidRDefault="00CE71C4" w:rsidP="00CE71C4">
      <w:pPr>
        <w:spacing w:after="0" w:line="360" w:lineRule="auto"/>
        <w:ind w:firstLine="709"/>
        <w:jc w:val="both"/>
        <w:rPr>
          <w:rFonts w:ascii="Arial" w:hAnsi="Arial" w:cs="Arial"/>
          <w:sz w:val="24"/>
          <w:szCs w:val="24"/>
        </w:rPr>
      </w:pPr>
      <w:r w:rsidRPr="00762EAA">
        <w:rPr>
          <w:rFonts w:ascii="Arial" w:hAnsi="Arial" w:cs="Arial"/>
          <w:b/>
          <w:bCs/>
          <w:sz w:val="24"/>
          <w:szCs w:val="24"/>
        </w:rPr>
        <w:t>V. Disposiciones relativas al cómputo de los plazos procesales.</w:t>
      </w:r>
      <w:r w:rsidRPr="00762EAA">
        <w:rPr>
          <w:rFonts w:ascii="Arial" w:hAnsi="Arial" w:cs="Arial"/>
          <w:sz w:val="24"/>
          <w:szCs w:val="24"/>
        </w:rPr>
        <w:t xml:space="preserve"> </w:t>
      </w:r>
      <w:r w:rsidR="00EC351E" w:rsidRPr="00762EAA">
        <w:rPr>
          <w:rFonts w:ascii="Arial" w:hAnsi="Arial" w:cs="Arial"/>
          <w:sz w:val="24"/>
          <w:szCs w:val="24"/>
        </w:rPr>
        <w:t xml:space="preserve">El </w:t>
      </w:r>
      <w:r w:rsidRPr="00762EAA">
        <w:rPr>
          <w:rFonts w:ascii="Arial" w:hAnsi="Arial" w:cs="Arial"/>
          <w:sz w:val="24"/>
          <w:szCs w:val="24"/>
        </w:rPr>
        <w:t>artículo 83 de la Ley de Justicia Administrativa del Estado refiere que</w:t>
      </w:r>
      <w:r w:rsidR="00BA7D38" w:rsidRPr="00762EAA">
        <w:rPr>
          <w:rFonts w:ascii="Arial" w:hAnsi="Arial" w:cs="Arial"/>
          <w:sz w:val="24"/>
          <w:szCs w:val="24"/>
        </w:rPr>
        <w:t>,</w:t>
      </w:r>
      <w:r w:rsidRPr="00762EAA">
        <w:rPr>
          <w:rFonts w:ascii="Arial" w:hAnsi="Arial" w:cs="Arial"/>
          <w:sz w:val="24"/>
          <w:szCs w:val="24"/>
        </w:rPr>
        <w:t xml:space="preserve"> el cómputo de los plazos, si están fijados en días, se computarán sólo los hábiles, entendiéndose por estos aquellos en que se encuentren abiertas al público las oficinas de este órgano jurisdiccional durante el horario normal de labores.</w:t>
      </w:r>
    </w:p>
    <w:p w14:paraId="2952E087" w14:textId="77777777" w:rsidR="00CE71C4" w:rsidRPr="00762EAA" w:rsidRDefault="00CE71C4" w:rsidP="00CE71C4">
      <w:pPr>
        <w:spacing w:after="0" w:line="360" w:lineRule="auto"/>
        <w:ind w:firstLine="709"/>
        <w:jc w:val="both"/>
        <w:rPr>
          <w:rFonts w:ascii="Arial" w:hAnsi="Arial" w:cs="Arial"/>
          <w:sz w:val="24"/>
          <w:szCs w:val="24"/>
        </w:rPr>
      </w:pPr>
    </w:p>
    <w:p w14:paraId="6B7C6E5C" w14:textId="77777777" w:rsidR="00CE71C4" w:rsidRPr="00762EAA" w:rsidRDefault="00CE71C4" w:rsidP="00CE71C4">
      <w:pPr>
        <w:spacing w:after="0" w:line="360" w:lineRule="auto"/>
        <w:ind w:firstLine="709"/>
        <w:jc w:val="both"/>
        <w:rPr>
          <w:rFonts w:ascii="Arial" w:hAnsi="Arial" w:cs="Arial"/>
          <w:sz w:val="24"/>
          <w:szCs w:val="24"/>
        </w:rPr>
      </w:pPr>
      <w:r w:rsidRPr="00762EAA">
        <w:rPr>
          <w:rFonts w:ascii="Arial" w:hAnsi="Arial" w:cs="Arial"/>
          <w:sz w:val="24"/>
          <w:szCs w:val="24"/>
        </w:rPr>
        <w:t>Bajo ese contexto, en ejercicio de su autonomía y autogobierno, tomando como referencia los periodos vacacionales fijados por el Poder Judicial del Estado</w:t>
      </w:r>
      <w:r w:rsidRPr="00762EAA">
        <w:rPr>
          <w:rStyle w:val="Refdenotaalpie"/>
          <w:rFonts w:ascii="Arial" w:hAnsi="Arial" w:cs="Arial"/>
          <w:sz w:val="24"/>
          <w:szCs w:val="24"/>
        </w:rPr>
        <w:footnoteReference w:id="1"/>
      </w:r>
      <w:r w:rsidRPr="00762EAA">
        <w:rPr>
          <w:rFonts w:ascii="Arial" w:hAnsi="Arial" w:cs="Arial"/>
          <w:sz w:val="24"/>
          <w:szCs w:val="24"/>
        </w:rPr>
        <w:t>, el Pleno del Tribunal Estatal de Justicia Administrativa, adoptó el siguiente:</w:t>
      </w:r>
    </w:p>
    <w:p w14:paraId="4733385E" w14:textId="77777777" w:rsidR="00CE71C4" w:rsidRPr="00762EAA" w:rsidRDefault="00CE71C4" w:rsidP="00773965">
      <w:pPr>
        <w:spacing w:after="0" w:line="360" w:lineRule="auto"/>
        <w:ind w:firstLine="709"/>
        <w:jc w:val="both"/>
        <w:rPr>
          <w:rFonts w:ascii="Arial" w:eastAsia="Calibri" w:hAnsi="Arial" w:cs="Arial"/>
          <w:sz w:val="24"/>
          <w:szCs w:val="24"/>
        </w:rPr>
      </w:pPr>
    </w:p>
    <w:p w14:paraId="4D9A679B" w14:textId="5A1833FC" w:rsidR="008F0E35" w:rsidRPr="00762EAA" w:rsidRDefault="00BF4675" w:rsidP="00BA7D38">
      <w:pPr>
        <w:spacing w:after="0" w:line="360" w:lineRule="auto"/>
        <w:jc w:val="center"/>
        <w:rPr>
          <w:rStyle w:val="CharacterStyle1"/>
          <w:rFonts w:eastAsia="Calibri"/>
          <w:b/>
          <w:bCs/>
          <w:sz w:val="24"/>
          <w:szCs w:val="24"/>
        </w:rPr>
      </w:pPr>
      <w:r w:rsidRPr="00762EAA">
        <w:rPr>
          <w:rFonts w:ascii="Arial" w:eastAsia="Calibri" w:hAnsi="Arial" w:cs="Arial"/>
          <w:b/>
          <w:bCs/>
          <w:sz w:val="24"/>
          <w:szCs w:val="24"/>
        </w:rPr>
        <w:t>ACUERDO</w:t>
      </w:r>
    </w:p>
    <w:p w14:paraId="682A411D" w14:textId="6E1D5AF9" w:rsidR="00CE71C4" w:rsidRPr="00762EAA" w:rsidRDefault="00CE71C4" w:rsidP="00CE71C4">
      <w:pPr>
        <w:spacing w:after="0" w:line="360" w:lineRule="auto"/>
        <w:ind w:firstLine="709"/>
        <w:jc w:val="both"/>
        <w:rPr>
          <w:rFonts w:ascii="Arial" w:eastAsia="Calibri" w:hAnsi="Arial" w:cs="Arial"/>
          <w:sz w:val="24"/>
          <w:szCs w:val="24"/>
        </w:rPr>
      </w:pPr>
      <w:r w:rsidRPr="00762EAA">
        <w:rPr>
          <w:rFonts w:ascii="Arial" w:eastAsia="Calibri" w:hAnsi="Arial" w:cs="Arial"/>
          <w:b/>
          <w:bCs/>
          <w:sz w:val="24"/>
          <w:szCs w:val="24"/>
        </w:rPr>
        <w:lastRenderedPageBreak/>
        <w:t>PRIMERO.</w:t>
      </w:r>
      <w:r w:rsidRPr="00762EAA">
        <w:rPr>
          <w:rFonts w:ascii="Arial" w:eastAsia="Calibri" w:hAnsi="Arial" w:cs="Arial"/>
          <w:sz w:val="24"/>
          <w:szCs w:val="24"/>
        </w:rPr>
        <w:t xml:space="preserve"> Se aprueba el calendario oficial de suspensión de labores del Tribunal Estatal de Justicia Administrativa</w:t>
      </w:r>
      <w:r w:rsidR="00342A4D" w:rsidRPr="00762EAA">
        <w:rPr>
          <w:rFonts w:ascii="Arial" w:eastAsia="Calibri" w:hAnsi="Arial" w:cs="Arial"/>
          <w:sz w:val="24"/>
          <w:szCs w:val="24"/>
        </w:rPr>
        <w:t>, correspondiente al año dos mil veinticinco,</w:t>
      </w:r>
      <w:r w:rsidRPr="00762EAA">
        <w:rPr>
          <w:rFonts w:ascii="Arial" w:eastAsia="Calibri" w:hAnsi="Arial" w:cs="Arial"/>
          <w:sz w:val="24"/>
          <w:szCs w:val="24"/>
        </w:rPr>
        <w:t xml:space="preserve"> en los términos que </w:t>
      </w:r>
      <w:r w:rsidR="00BA7D38" w:rsidRPr="00762EAA">
        <w:rPr>
          <w:rFonts w:ascii="Arial" w:eastAsia="Calibri" w:hAnsi="Arial" w:cs="Arial"/>
          <w:sz w:val="24"/>
          <w:szCs w:val="24"/>
        </w:rPr>
        <w:t xml:space="preserve">se exponen </w:t>
      </w:r>
      <w:r w:rsidRPr="00762EAA">
        <w:rPr>
          <w:rFonts w:ascii="Arial" w:eastAsia="Calibri" w:hAnsi="Arial" w:cs="Arial"/>
          <w:sz w:val="24"/>
          <w:szCs w:val="24"/>
        </w:rPr>
        <w:t xml:space="preserve">a continuación. </w:t>
      </w:r>
    </w:p>
    <w:p w14:paraId="3810F058" w14:textId="77777777" w:rsidR="00CE71C4" w:rsidRPr="00762EAA" w:rsidRDefault="00CE71C4" w:rsidP="00CE71C4">
      <w:pPr>
        <w:spacing w:after="0" w:line="360" w:lineRule="auto"/>
        <w:ind w:firstLine="709"/>
        <w:jc w:val="both"/>
        <w:rPr>
          <w:rFonts w:ascii="Arial" w:eastAsia="Calibri" w:hAnsi="Arial" w:cs="Arial"/>
          <w:sz w:val="24"/>
          <w:szCs w:val="24"/>
        </w:rPr>
      </w:pPr>
    </w:p>
    <w:p w14:paraId="7CE12EA4" w14:textId="0CD991F2" w:rsidR="00CE71C4" w:rsidRPr="00762EAA" w:rsidRDefault="00CE71C4" w:rsidP="00CE71C4">
      <w:pPr>
        <w:spacing w:after="0" w:line="360" w:lineRule="auto"/>
        <w:ind w:firstLine="709"/>
        <w:jc w:val="both"/>
        <w:rPr>
          <w:rFonts w:ascii="Arial" w:eastAsia="Calibri" w:hAnsi="Arial" w:cs="Arial"/>
          <w:sz w:val="24"/>
          <w:szCs w:val="24"/>
        </w:rPr>
      </w:pPr>
      <w:r w:rsidRPr="00762EAA">
        <w:rPr>
          <w:rFonts w:ascii="Arial" w:eastAsia="Calibri" w:hAnsi="Arial" w:cs="Arial"/>
          <w:b/>
          <w:bCs/>
          <w:sz w:val="24"/>
          <w:szCs w:val="24"/>
        </w:rPr>
        <w:t>1.1</w:t>
      </w:r>
      <w:r w:rsidRPr="00762EAA">
        <w:rPr>
          <w:rFonts w:ascii="Arial" w:eastAsia="Calibri" w:hAnsi="Arial" w:cs="Arial"/>
          <w:sz w:val="24"/>
          <w:szCs w:val="24"/>
        </w:rPr>
        <w:t xml:space="preserve"> Se fijan como días inhábiles</w:t>
      </w:r>
      <w:r w:rsidR="00BA7D38" w:rsidRPr="00762EAA">
        <w:rPr>
          <w:rStyle w:val="Refdenotaalpie"/>
          <w:rFonts w:ascii="Arial" w:eastAsia="Calibri" w:hAnsi="Arial" w:cs="Arial"/>
          <w:sz w:val="24"/>
          <w:szCs w:val="24"/>
        </w:rPr>
        <w:footnoteReference w:id="2"/>
      </w:r>
      <w:r w:rsidRPr="00762EAA">
        <w:rPr>
          <w:rFonts w:ascii="Arial" w:eastAsia="Calibri" w:hAnsi="Arial" w:cs="Arial"/>
          <w:sz w:val="24"/>
          <w:szCs w:val="24"/>
        </w:rPr>
        <w:t>, además de sábados y domingos, los siguientes:</w:t>
      </w:r>
    </w:p>
    <w:p w14:paraId="65C73F23" w14:textId="77777777" w:rsidR="00CE71C4" w:rsidRPr="00762EAA" w:rsidRDefault="00CE71C4" w:rsidP="00CE71C4">
      <w:pPr>
        <w:spacing w:after="0" w:line="360" w:lineRule="auto"/>
        <w:ind w:firstLine="709"/>
        <w:jc w:val="both"/>
        <w:rPr>
          <w:rFonts w:ascii="Arial" w:eastAsia="Calibri" w:hAnsi="Arial" w:cs="Arial"/>
          <w:sz w:val="24"/>
          <w:szCs w:val="24"/>
        </w:rPr>
      </w:pPr>
    </w:p>
    <w:tbl>
      <w:tblPr>
        <w:tblStyle w:val="Tablaconcuadrcula"/>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97"/>
        <w:gridCol w:w="4124"/>
      </w:tblGrid>
      <w:tr w:rsidR="00CE71C4" w:rsidRPr="00762EAA" w14:paraId="4E7FD99B" w14:textId="77777777" w:rsidTr="008257BC">
        <w:tc>
          <w:tcPr>
            <w:tcW w:w="4097" w:type="dxa"/>
            <w:shd w:val="pct12" w:color="auto" w:fill="auto"/>
            <w:vAlign w:val="center"/>
          </w:tcPr>
          <w:p w14:paraId="27CE21C5" w14:textId="77777777" w:rsidR="00CE71C4" w:rsidRPr="00762EAA" w:rsidRDefault="00CE71C4" w:rsidP="00171106">
            <w:pPr>
              <w:autoSpaceDE w:val="0"/>
              <w:autoSpaceDN w:val="0"/>
              <w:adjustRightInd w:val="0"/>
              <w:jc w:val="center"/>
              <w:rPr>
                <w:rFonts w:ascii="Arial" w:hAnsi="Arial" w:cs="Arial"/>
                <w:b/>
                <w:sz w:val="24"/>
                <w:szCs w:val="24"/>
              </w:rPr>
            </w:pPr>
            <w:r w:rsidRPr="00762EAA">
              <w:rPr>
                <w:rFonts w:ascii="Arial" w:hAnsi="Arial" w:cs="Arial"/>
                <w:b/>
                <w:sz w:val="24"/>
                <w:szCs w:val="24"/>
              </w:rPr>
              <w:t>Mes</w:t>
            </w:r>
          </w:p>
        </w:tc>
        <w:tc>
          <w:tcPr>
            <w:tcW w:w="4124" w:type="dxa"/>
            <w:shd w:val="pct12" w:color="auto" w:fill="auto"/>
            <w:vAlign w:val="center"/>
          </w:tcPr>
          <w:p w14:paraId="29F2464E" w14:textId="77777777" w:rsidR="00CE71C4" w:rsidRPr="00762EAA" w:rsidRDefault="00CE71C4" w:rsidP="00171106">
            <w:pPr>
              <w:autoSpaceDE w:val="0"/>
              <w:autoSpaceDN w:val="0"/>
              <w:adjustRightInd w:val="0"/>
              <w:jc w:val="center"/>
              <w:rPr>
                <w:rFonts w:ascii="Arial" w:hAnsi="Arial" w:cs="Arial"/>
                <w:b/>
                <w:sz w:val="24"/>
                <w:szCs w:val="24"/>
              </w:rPr>
            </w:pPr>
            <w:r w:rsidRPr="00762EAA">
              <w:rPr>
                <w:rFonts w:ascii="Arial" w:hAnsi="Arial" w:cs="Arial"/>
                <w:b/>
                <w:sz w:val="24"/>
                <w:szCs w:val="24"/>
              </w:rPr>
              <w:t>Día</w:t>
            </w:r>
          </w:p>
        </w:tc>
      </w:tr>
      <w:tr w:rsidR="00CE71C4" w:rsidRPr="00762EAA" w14:paraId="400769C0" w14:textId="77777777" w:rsidTr="008257BC">
        <w:tc>
          <w:tcPr>
            <w:tcW w:w="4097" w:type="dxa"/>
            <w:vAlign w:val="center"/>
          </w:tcPr>
          <w:p w14:paraId="19CBDCC9" w14:textId="77777777" w:rsidR="00CE71C4" w:rsidRPr="00762EAA" w:rsidRDefault="00CE71C4" w:rsidP="00171106">
            <w:pPr>
              <w:autoSpaceDE w:val="0"/>
              <w:autoSpaceDN w:val="0"/>
              <w:adjustRightInd w:val="0"/>
              <w:jc w:val="center"/>
              <w:rPr>
                <w:rFonts w:ascii="Arial" w:hAnsi="Arial" w:cs="Arial"/>
                <w:sz w:val="24"/>
                <w:szCs w:val="24"/>
              </w:rPr>
            </w:pPr>
            <w:r w:rsidRPr="00762EAA">
              <w:rPr>
                <w:rFonts w:ascii="Arial" w:hAnsi="Arial" w:cs="Arial"/>
                <w:sz w:val="24"/>
                <w:szCs w:val="24"/>
              </w:rPr>
              <w:t>Febrero</w:t>
            </w:r>
          </w:p>
        </w:tc>
        <w:tc>
          <w:tcPr>
            <w:tcW w:w="4124" w:type="dxa"/>
            <w:vAlign w:val="center"/>
          </w:tcPr>
          <w:p w14:paraId="3CE1DDD1" w14:textId="0347DF17" w:rsidR="00CE71C4" w:rsidRPr="00762EAA" w:rsidRDefault="00BA7D38" w:rsidP="00171106">
            <w:pPr>
              <w:autoSpaceDE w:val="0"/>
              <w:autoSpaceDN w:val="0"/>
              <w:adjustRightInd w:val="0"/>
              <w:jc w:val="both"/>
              <w:rPr>
                <w:rFonts w:ascii="Arial" w:hAnsi="Arial" w:cs="Arial"/>
                <w:sz w:val="24"/>
                <w:szCs w:val="24"/>
              </w:rPr>
            </w:pPr>
            <w:r w:rsidRPr="00762EAA">
              <w:rPr>
                <w:rFonts w:ascii="Arial" w:hAnsi="Arial" w:cs="Arial"/>
                <w:sz w:val="24"/>
                <w:szCs w:val="24"/>
              </w:rPr>
              <w:t>Lunes</w:t>
            </w:r>
            <w:r w:rsidR="00CE71C4" w:rsidRPr="00762EAA">
              <w:rPr>
                <w:rFonts w:ascii="Arial" w:hAnsi="Arial" w:cs="Arial"/>
                <w:sz w:val="24"/>
                <w:szCs w:val="24"/>
              </w:rPr>
              <w:t xml:space="preserve"> </w:t>
            </w:r>
            <w:r w:rsidRPr="00762EAA">
              <w:rPr>
                <w:rFonts w:ascii="Arial" w:hAnsi="Arial" w:cs="Arial"/>
                <w:sz w:val="24"/>
                <w:szCs w:val="24"/>
              </w:rPr>
              <w:t>3, en conmemoración del 5 de febrero</w:t>
            </w:r>
            <w:r w:rsidR="00CE71C4" w:rsidRPr="00762EAA">
              <w:rPr>
                <w:rFonts w:ascii="Arial" w:hAnsi="Arial" w:cs="Arial"/>
                <w:sz w:val="24"/>
                <w:szCs w:val="24"/>
              </w:rPr>
              <w:t>.</w:t>
            </w:r>
          </w:p>
        </w:tc>
      </w:tr>
      <w:tr w:rsidR="00CE71C4" w:rsidRPr="00762EAA" w14:paraId="728F9336" w14:textId="77777777" w:rsidTr="00171106">
        <w:trPr>
          <w:trHeight w:val="51"/>
        </w:trPr>
        <w:tc>
          <w:tcPr>
            <w:tcW w:w="4097" w:type="dxa"/>
            <w:vAlign w:val="center"/>
          </w:tcPr>
          <w:p w14:paraId="7770C7E2" w14:textId="3497EBF5" w:rsidR="00CE71C4" w:rsidRPr="00762EAA" w:rsidRDefault="00171106" w:rsidP="00171106">
            <w:pPr>
              <w:autoSpaceDE w:val="0"/>
              <w:autoSpaceDN w:val="0"/>
              <w:adjustRightInd w:val="0"/>
              <w:jc w:val="center"/>
              <w:rPr>
                <w:rFonts w:ascii="Arial" w:hAnsi="Arial" w:cs="Arial"/>
                <w:sz w:val="24"/>
                <w:szCs w:val="24"/>
              </w:rPr>
            </w:pPr>
            <w:r w:rsidRPr="00762EAA">
              <w:rPr>
                <w:rFonts w:ascii="Arial" w:hAnsi="Arial" w:cs="Arial"/>
                <w:sz w:val="24"/>
                <w:szCs w:val="24"/>
              </w:rPr>
              <w:t>Marzo</w:t>
            </w:r>
          </w:p>
        </w:tc>
        <w:tc>
          <w:tcPr>
            <w:tcW w:w="4124" w:type="dxa"/>
            <w:vAlign w:val="center"/>
          </w:tcPr>
          <w:p w14:paraId="724595C5" w14:textId="5BF5DF23" w:rsidR="00CE71C4" w:rsidRPr="00762EAA" w:rsidRDefault="00BA7D38" w:rsidP="00171106">
            <w:pPr>
              <w:autoSpaceDE w:val="0"/>
              <w:autoSpaceDN w:val="0"/>
              <w:adjustRightInd w:val="0"/>
              <w:jc w:val="both"/>
              <w:rPr>
                <w:rFonts w:ascii="Arial" w:hAnsi="Arial" w:cs="Arial"/>
                <w:sz w:val="24"/>
                <w:szCs w:val="24"/>
              </w:rPr>
            </w:pPr>
            <w:r w:rsidRPr="00762EAA">
              <w:rPr>
                <w:rFonts w:ascii="Arial" w:hAnsi="Arial" w:cs="Arial"/>
                <w:sz w:val="24"/>
                <w:szCs w:val="24"/>
              </w:rPr>
              <w:t>Lunes 17, en conmemoración del</w:t>
            </w:r>
            <w:r w:rsidR="00342A4D" w:rsidRPr="00762EAA">
              <w:rPr>
                <w:rFonts w:ascii="Arial" w:hAnsi="Arial" w:cs="Arial"/>
                <w:sz w:val="24"/>
                <w:szCs w:val="24"/>
              </w:rPr>
              <w:t xml:space="preserve"> </w:t>
            </w:r>
            <w:r w:rsidR="00CE71C4" w:rsidRPr="00762EAA">
              <w:rPr>
                <w:rFonts w:ascii="Arial" w:hAnsi="Arial" w:cs="Arial"/>
                <w:sz w:val="24"/>
                <w:szCs w:val="24"/>
              </w:rPr>
              <w:t>21 de marzo.</w:t>
            </w:r>
          </w:p>
        </w:tc>
      </w:tr>
      <w:tr w:rsidR="00171106" w:rsidRPr="00762EAA" w14:paraId="610D5139" w14:textId="77777777" w:rsidTr="008257BC">
        <w:trPr>
          <w:trHeight w:val="154"/>
        </w:trPr>
        <w:tc>
          <w:tcPr>
            <w:tcW w:w="4097" w:type="dxa"/>
            <w:vAlign w:val="center"/>
          </w:tcPr>
          <w:p w14:paraId="578AA09F" w14:textId="23FBCF99" w:rsidR="00171106" w:rsidRPr="00762EAA" w:rsidRDefault="00171106" w:rsidP="00171106">
            <w:pPr>
              <w:autoSpaceDE w:val="0"/>
              <w:autoSpaceDN w:val="0"/>
              <w:adjustRightInd w:val="0"/>
              <w:jc w:val="center"/>
              <w:rPr>
                <w:rFonts w:ascii="Arial" w:hAnsi="Arial" w:cs="Arial"/>
                <w:sz w:val="24"/>
                <w:szCs w:val="24"/>
              </w:rPr>
            </w:pPr>
            <w:r w:rsidRPr="00762EAA">
              <w:rPr>
                <w:rFonts w:ascii="Arial" w:hAnsi="Arial" w:cs="Arial"/>
                <w:sz w:val="24"/>
                <w:szCs w:val="24"/>
              </w:rPr>
              <w:t>Abril</w:t>
            </w:r>
          </w:p>
        </w:tc>
        <w:tc>
          <w:tcPr>
            <w:tcW w:w="4124" w:type="dxa"/>
            <w:vAlign w:val="center"/>
          </w:tcPr>
          <w:p w14:paraId="7C40E7E6" w14:textId="3774A504" w:rsidR="00171106" w:rsidRPr="00762EAA" w:rsidRDefault="00171106" w:rsidP="00171106">
            <w:pPr>
              <w:autoSpaceDE w:val="0"/>
              <w:autoSpaceDN w:val="0"/>
              <w:adjustRightInd w:val="0"/>
              <w:jc w:val="both"/>
              <w:rPr>
                <w:rFonts w:ascii="Arial" w:hAnsi="Arial" w:cs="Arial"/>
                <w:sz w:val="24"/>
                <w:szCs w:val="24"/>
              </w:rPr>
            </w:pPr>
            <w:r w:rsidRPr="00762EAA">
              <w:rPr>
                <w:rFonts w:ascii="Arial" w:hAnsi="Arial" w:cs="Arial"/>
                <w:sz w:val="24"/>
                <w:szCs w:val="24"/>
              </w:rPr>
              <w:t xml:space="preserve">Miércoles 16, jueves 17 y viernes 18, por corresponder a los principales días de la Semana Santa.                                                                                                                                                                                                                                                                                                                                                                                                                                                                                                                                                                                                                                                                                                                                                                                                                                                                                                                                                                                                                                                                                                                                                                                                                                      </w:t>
            </w:r>
          </w:p>
        </w:tc>
      </w:tr>
      <w:tr w:rsidR="00CE71C4" w:rsidRPr="00762EAA" w14:paraId="59B82F84" w14:textId="77777777" w:rsidTr="008257BC">
        <w:tc>
          <w:tcPr>
            <w:tcW w:w="4097" w:type="dxa"/>
            <w:vAlign w:val="center"/>
          </w:tcPr>
          <w:p w14:paraId="090F6725" w14:textId="77777777" w:rsidR="00CE71C4" w:rsidRPr="00762EAA" w:rsidRDefault="00CE71C4" w:rsidP="00171106">
            <w:pPr>
              <w:autoSpaceDE w:val="0"/>
              <w:autoSpaceDN w:val="0"/>
              <w:adjustRightInd w:val="0"/>
              <w:jc w:val="center"/>
              <w:rPr>
                <w:rFonts w:ascii="Arial" w:hAnsi="Arial" w:cs="Arial"/>
                <w:sz w:val="24"/>
                <w:szCs w:val="24"/>
              </w:rPr>
            </w:pPr>
            <w:bookmarkStart w:id="0" w:name="_Hlk29285228"/>
            <w:r w:rsidRPr="00762EAA">
              <w:rPr>
                <w:rFonts w:ascii="Arial" w:hAnsi="Arial" w:cs="Arial"/>
                <w:sz w:val="24"/>
                <w:szCs w:val="24"/>
              </w:rPr>
              <w:t>Mayo</w:t>
            </w:r>
          </w:p>
        </w:tc>
        <w:tc>
          <w:tcPr>
            <w:tcW w:w="4124" w:type="dxa"/>
            <w:vAlign w:val="center"/>
          </w:tcPr>
          <w:p w14:paraId="7D66542D" w14:textId="37140AD5" w:rsidR="00CE71C4" w:rsidRPr="00762EAA" w:rsidRDefault="00342A4D" w:rsidP="00171106">
            <w:pPr>
              <w:autoSpaceDE w:val="0"/>
              <w:autoSpaceDN w:val="0"/>
              <w:adjustRightInd w:val="0"/>
              <w:jc w:val="both"/>
              <w:rPr>
                <w:rFonts w:ascii="Arial" w:hAnsi="Arial" w:cs="Arial"/>
                <w:sz w:val="24"/>
                <w:szCs w:val="24"/>
              </w:rPr>
            </w:pPr>
            <w:r w:rsidRPr="00762EAA">
              <w:rPr>
                <w:rFonts w:ascii="Arial" w:hAnsi="Arial" w:cs="Arial"/>
                <w:sz w:val="24"/>
                <w:szCs w:val="24"/>
              </w:rPr>
              <w:t xml:space="preserve">Jueves </w:t>
            </w:r>
            <w:r w:rsidR="00CE71C4" w:rsidRPr="00762EAA">
              <w:rPr>
                <w:rFonts w:ascii="Arial" w:hAnsi="Arial" w:cs="Arial"/>
                <w:sz w:val="24"/>
                <w:szCs w:val="24"/>
              </w:rPr>
              <w:t>1</w:t>
            </w:r>
            <w:r w:rsidR="00E72310">
              <w:rPr>
                <w:rFonts w:ascii="Arial" w:hAnsi="Arial" w:cs="Arial"/>
                <w:sz w:val="24"/>
                <w:szCs w:val="24"/>
              </w:rPr>
              <w:t xml:space="preserve"> y lunes 5</w:t>
            </w:r>
          </w:p>
        </w:tc>
      </w:tr>
      <w:bookmarkEnd w:id="0"/>
      <w:tr w:rsidR="00CE71C4" w:rsidRPr="00762EAA" w14:paraId="298A86BE" w14:textId="77777777" w:rsidTr="008257BC">
        <w:tc>
          <w:tcPr>
            <w:tcW w:w="4097" w:type="dxa"/>
            <w:vAlign w:val="center"/>
          </w:tcPr>
          <w:p w14:paraId="0A03CDD2" w14:textId="77777777" w:rsidR="00CE71C4" w:rsidRPr="00762EAA" w:rsidRDefault="00CE71C4" w:rsidP="00171106">
            <w:pPr>
              <w:autoSpaceDE w:val="0"/>
              <w:autoSpaceDN w:val="0"/>
              <w:adjustRightInd w:val="0"/>
              <w:jc w:val="center"/>
              <w:rPr>
                <w:rFonts w:ascii="Arial" w:hAnsi="Arial" w:cs="Arial"/>
                <w:sz w:val="24"/>
                <w:szCs w:val="24"/>
              </w:rPr>
            </w:pPr>
            <w:r w:rsidRPr="00762EAA">
              <w:rPr>
                <w:rFonts w:ascii="Arial" w:hAnsi="Arial" w:cs="Arial"/>
                <w:sz w:val="24"/>
                <w:szCs w:val="24"/>
              </w:rPr>
              <w:t>Septiembre</w:t>
            </w:r>
          </w:p>
        </w:tc>
        <w:tc>
          <w:tcPr>
            <w:tcW w:w="4124" w:type="dxa"/>
            <w:vAlign w:val="center"/>
          </w:tcPr>
          <w:p w14:paraId="4EFBB639" w14:textId="5E3C2EF6" w:rsidR="00CE71C4" w:rsidRPr="00762EAA" w:rsidRDefault="00CE71C4" w:rsidP="00171106">
            <w:pPr>
              <w:autoSpaceDE w:val="0"/>
              <w:autoSpaceDN w:val="0"/>
              <w:adjustRightInd w:val="0"/>
              <w:jc w:val="both"/>
              <w:rPr>
                <w:rFonts w:ascii="Arial" w:hAnsi="Arial" w:cs="Arial"/>
                <w:sz w:val="24"/>
                <w:szCs w:val="24"/>
              </w:rPr>
            </w:pPr>
            <w:r w:rsidRPr="00762EAA">
              <w:rPr>
                <w:rFonts w:ascii="Arial" w:hAnsi="Arial" w:cs="Arial"/>
                <w:sz w:val="24"/>
                <w:szCs w:val="24"/>
              </w:rPr>
              <w:t>Lunes 1</w:t>
            </w:r>
            <w:r w:rsidR="00342A4D" w:rsidRPr="00762EAA">
              <w:rPr>
                <w:rFonts w:ascii="Arial" w:hAnsi="Arial" w:cs="Arial"/>
                <w:sz w:val="24"/>
                <w:szCs w:val="24"/>
              </w:rPr>
              <w:t>5 y martes 16.</w:t>
            </w:r>
          </w:p>
        </w:tc>
      </w:tr>
      <w:tr w:rsidR="00CE71C4" w:rsidRPr="00762EAA" w14:paraId="13B190B8" w14:textId="77777777" w:rsidTr="008257BC">
        <w:tc>
          <w:tcPr>
            <w:tcW w:w="4097" w:type="dxa"/>
            <w:vAlign w:val="center"/>
          </w:tcPr>
          <w:p w14:paraId="6F9E53A8" w14:textId="77777777" w:rsidR="00CE71C4" w:rsidRPr="00762EAA" w:rsidRDefault="00CE71C4" w:rsidP="00171106">
            <w:pPr>
              <w:autoSpaceDE w:val="0"/>
              <w:autoSpaceDN w:val="0"/>
              <w:adjustRightInd w:val="0"/>
              <w:jc w:val="center"/>
              <w:rPr>
                <w:rFonts w:ascii="Arial" w:hAnsi="Arial" w:cs="Arial"/>
                <w:sz w:val="24"/>
                <w:szCs w:val="24"/>
              </w:rPr>
            </w:pPr>
            <w:r w:rsidRPr="00762EAA">
              <w:rPr>
                <w:rFonts w:ascii="Arial" w:hAnsi="Arial" w:cs="Arial"/>
                <w:sz w:val="24"/>
                <w:szCs w:val="24"/>
              </w:rPr>
              <w:t>Noviembre</w:t>
            </w:r>
          </w:p>
        </w:tc>
        <w:tc>
          <w:tcPr>
            <w:tcW w:w="4124" w:type="dxa"/>
            <w:vAlign w:val="center"/>
          </w:tcPr>
          <w:p w14:paraId="27FC4360" w14:textId="2E24940B" w:rsidR="00CE71C4" w:rsidRPr="00762EAA" w:rsidRDefault="00342A4D" w:rsidP="00171106">
            <w:pPr>
              <w:autoSpaceDE w:val="0"/>
              <w:autoSpaceDN w:val="0"/>
              <w:adjustRightInd w:val="0"/>
              <w:jc w:val="both"/>
              <w:rPr>
                <w:rFonts w:ascii="Arial" w:hAnsi="Arial" w:cs="Arial"/>
                <w:sz w:val="24"/>
                <w:szCs w:val="24"/>
              </w:rPr>
            </w:pPr>
            <w:r w:rsidRPr="00762EAA">
              <w:rPr>
                <w:rFonts w:ascii="Arial" w:hAnsi="Arial" w:cs="Arial"/>
                <w:sz w:val="24"/>
                <w:szCs w:val="24"/>
              </w:rPr>
              <w:t>L</w:t>
            </w:r>
            <w:r w:rsidR="00CE71C4" w:rsidRPr="00762EAA">
              <w:rPr>
                <w:rFonts w:ascii="Arial" w:hAnsi="Arial" w:cs="Arial"/>
                <w:sz w:val="24"/>
                <w:szCs w:val="24"/>
              </w:rPr>
              <w:t>unes 1</w:t>
            </w:r>
            <w:r w:rsidRPr="00762EAA">
              <w:rPr>
                <w:rFonts w:ascii="Arial" w:hAnsi="Arial" w:cs="Arial"/>
                <w:sz w:val="24"/>
                <w:szCs w:val="24"/>
              </w:rPr>
              <w:t>7</w:t>
            </w:r>
            <w:r w:rsidR="00CE71C4" w:rsidRPr="00762EAA">
              <w:rPr>
                <w:rFonts w:ascii="Arial" w:hAnsi="Arial" w:cs="Arial"/>
                <w:sz w:val="24"/>
                <w:szCs w:val="24"/>
              </w:rPr>
              <w:t>, en conmemoración del 20 de noviembre.</w:t>
            </w:r>
          </w:p>
        </w:tc>
      </w:tr>
      <w:tr w:rsidR="00CE71C4" w:rsidRPr="00762EAA" w14:paraId="43F48E10" w14:textId="77777777" w:rsidTr="008257BC">
        <w:tc>
          <w:tcPr>
            <w:tcW w:w="4097" w:type="dxa"/>
            <w:vAlign w:val="center"/>
          </w:tcPr>
          <w:p w14:paraId="1E09AA54" w14:textId="77777777" w:rsidR="00CE71C4" w:rsidRPr="00762EAA" w:rsidRDefault="00CE71C4" w:rsidP="00171106">
            <w:pPr>
              <w:autoSpaceDE w:val="0"/>
              <w:autoSpaceDN w:val="0"/>
              <w:adjustRightInd w:val="0"/>
              <w:jc w:val="center"/>
              <w:rPr>
                <w:rFonts w:ascii="Arial" w:hAnsi="Arial" w:cs="Arial"/>
                <w:sz w:val="24"/>
                <w:szCs w:val="24"/>
              </w:rPr>
            </w:pPr>
            <w:r w:rsidRPr="00762EAA">
              <w:rPr>
                <w:rFonts w:ascii="Arial" w:hAnsi="Arial" w:cs="Arial"/>
                <w:sz w:val="24"/>
                <w:szCs w:val="24"/>
              </w:rPr>
              <w:t>Diciembre</w:t>
            </w:r>
          </w:p>
        </w:tc>
        <w:tc>
          <w:tcPr>
            <w:tcW w:w="4124" w:type="dxa"/>
            <w:vAlign w:val="center"/>
          </w:tcPr>
          <w:p w14:paraId="73D816EE" w14:textId="06248B38" w:rsidR="00CE71C4" w:rsidRPr="00762EAA" w:rsidRDefault="00342A4D" w:rsidP="00171106">
            <w:pPr>
              <w:autoSpaceDE w:val="0"/>
              <w:autoSpaceDN w:val="0"/>
              <w:adjustRightInd w:val="0"/>
              <w:jc w:val="both"/>
              <w:rPr>
                <w:rFonts w:ascii="Arial" w:hAnsi="Arial" w:cs="Arial"/>
                <w:sz w:val="24"/>
                <w:szCs w:val="24"/>
              </w:rPr>
            </w:pPr>
            <w:r w:rsidRPr="00762EAA">
              <w:rPr>
                <w:rFonts w:ascii="Arial" w:hAnsi="Arial" w:cs="Arial"/>
                <w:sz w:val="24"/>
                <w:szCs w:val="24"/>
              </w:rPr>
              <w:t xml:space="preserve">Jueves </w:t>
            </w:r>
            <w:r w:rsidR="00CE71C4" w:rsidRPr="00762EAA">
              <w:rPr>
                <w:rFonts w:ascii="Arial" w:hAnsi="Arial" w:cs="Arial"/>
                <w:sz w:val="24"/>
                <w:szCs w:val="24"/>
              </w:rPr>
              <w:t>25 de diciembre.</w:t>
            </w:r>
          </w:p>
        </w:tc>
      </w:tr>
      <w:tr w:rsidR="00CE71C4" w:rsidRPr="00762EAA" w14:paraId="37041EF0" w14:textId="77777777" w:rsidTr="008257BC">
        <w:tc>
          <w:tcPr>
            <w:tcW w:w="4097" w:type="dxa"/>
            <w:vAlign w:val="center"/>
          </w:tcPr>
          <w:p w14:paraId="17FAE158" w14:textId="1AC925C4" w:rsidR="00CE71C4" w:rsidRPr="00762EAA" w:rsidRDefault="00CE71C4" w:rsidP="00171106">
            <w:pPr>
              <w:autoSpaceDE w:val="0"/>
              <w:autoSpaceDN w:val="0"/>
              <w:adjustRightInd w:val="0"/>
              <w:jc w:val="center"/>
              <w:rPr>
                <w:rFonts w:ascii="Arial" w:hAnsi="Arial" w:cs="Arial"/>
                <w:sz w:val="24"/>
                <w:szCs w:val="24"/>
              </w:rPr>
            </w:pPr>
            <w:r w:rsidRPr="00762EAA">
              <w:rPr>
                <w:rFonts w:ascii="Arial" w:hAnsi="Arial" w:cs="Arial"/>
                <w:sz w:val="24"/>
                <w:szCs w:val="24"/>
              </w:rPr>
              <w:t>Enero (202</w:t>
            </w:r>
            <w:r w:rsidR="00342A4D" w:rsidRPr="00762EAA">
              <w:rPr>
                <w:rFonts w:ascii="Arial" w:hAnsi="Arial" w:cs="Arial"/>
                <w:sz w:val="24"/>
                <w:szCs w:val="24"/>
              </w:rPr>
              <w:t>6</w:t>
            </w:r>
            <w:r w:rsidRPr="00762EAA">
              <w:rPr>
                <w:rFonts w:ascii="Arial" w:hAnsi="Arial" w:cs="Arial"/>
                <w:sz w:val="24"/>
                <w:szCs w:val="24"/>
              </w:rPr>
              <w:t>)</w:t>
            </w:r>
          </w:p>
        </w:tc>
        <w:tc>
          <w:tcPr>
            <w:tcW w:w="4124" w:type="dxa"/>
            <w:vAlign w:val="center"/>
          </w:tcPr>
          <w:p w14:paraId="0EA3A52B" w14:textId="14EF3D79" w:rsidR="00CE71C4" w:rsidRPr="00762EAA" w:rsidRDefault="00342A4D" w:rsidP="00171106">
            <w:pPr>
              <w:autoSpaceDE w:val="0"/>
              <w:autoSpaceDN w:val="0"/>
              <w:adjustRightInd w:val="0"/>
              <w:jc w:val="both"/>
              <w:rPr>
                <w:rFonts w:ascii="Arial" w:hAnsi="Arial" w:cs="Arial"/>
                <w:sz w:val="24"/>
                <w:szCs w:val="24"/>
              </w:rPr>
            </w:pPr>
            <w:r w:rsidRPr="00762EAA">
              <w:rPr>
                <w:rFonts w:ascii="Arial" w:hAnsi="Arial" w:cs="Arial"/>
                <w:sz w:val="24"/>
                <w:szCs w:val="24"/>
              </w:rPr>
              <w:t xml:space="preserve">Jueves </w:t>
            </w:r>
            <w:r w:rsidR="00CE71C4" w:rsidRPr="00762EAA">
              <w:rPr>
                <w:rFonts w:ascii="Arial" w:hAnsi="Arial" w:cs="Arial"/>
                <w:sz w:val="24"/>
                <w:szCs w:val="24"/>
              </w:rPr>
              <w:t xml:space="preserve">1 de enero. </w:t>
            </w:r>
          </w:p>
        </w:tc>
      </w:tr>
    </w:tbl>
    <w:p w14:paraId="3423BF7F" w14:textId="77777777" w:rsidR="00CE71C4" w:rsidRPr="00762EAA" w:rsidRDefault="00CE71C4" w:rsidP="00171106">
      <w:pPr>
        <w:spacing w:after="0" w:line="240" w:lineRule="auto"/>
        <w:ind w:firstLine="709"/>
        <w:jc w:val="both"/>
        <w:rPr>
          <w:rFonts w:ascii="Arial" w:eastAsia="Calibri" w:hAnsi="Arial" w:cs="Arial"/>
          <w:sz w:val="24"/>
          <w:szCs w:val="24"/>
        </w:rPr>
      </w:pPr>
    </w:p>
    <w:p w14:paraId="5A762A9A" w14:textId="77777777" w:rsidR="00CE71C4" w:rsidRPr="00762EAA" w:rsidRDefault="00CE71C4" w:rsidP="00CE71C4">
      <w:pPr>
        <w:spacing w:after="0" w:line="240" w:lineRule="auto"/>
        <w:ind w:firstLine="709"/>
        <w:jc w:val="both"/>
        <w:rPr>
          <w:rFonts w:ascii="Arial" w:eastAsia="Calibri" w:hAnsi="Arial" w:cs="Arial"/>
          <w:sz w:val="24"/>
          <w:szCs w:val="24"/>
        </w:rPr>
      </w:pPr>
    </w:p>
    <w:p w14:paraId="024D2A05" w14:textId="5134FE8F" w:rsidR="00CE71C4" w:rsidRPr="00762EAA" w:rsidRDefault="00CE71C4" w:rsidP="00CE71C4">
      <w:pPr>
        <w:spacing w:after="0" w:line="360" w:lineRule="auto"/>
        <w:ind w:firstLine="709"/>
        <w:jc w:val="both"/>
        <w:rPr>
          <w:rFonts w:ascii="Arial" w:eastAsia="Calibri" w:hAnsi="Arial" w:cs="Arial"/>
          <w:sz w:val="24"/>
          <w:szCs w:val="24"/>
        </w:rPr>
      </w:pPr>
      <w:r w:rsidRPr="00762EAA">
        <w:rPr>
          <w:rFonts w:ascii="Arial" w:eastAsia="Calibri" w:hAnsi="Arial" w:cs="Arial"/>
          <w:b/>
          <w:bCs/>
          <w:sz w:val="24"/>
          <w:szCs w:val="24"/>
        </w:rPr>
        <w:lastRenderedPageBreak/>
        <w:t>1.2</w:t>
      </w:r>
      <w:r w:rsidRPr="00762EAA">
        <w:rPr>
          <w:rFonts w:ascii="Arial" w:eastAsia="Calibri" w:hAnsi="Arial" w:cs="Arial"/>
          <w:sz w:val="24"/>
          <w:szCs w:val="24"/>
        </w:rPr>
        <w:t xml:space="preserve"> Se fijan como periodos vacaciones,</w:t>
      </w:r>
      <w:r w:rsidR="00342A4D" w:rsidRPr="00762EAA">
        <w:rPr>
          <w:rFonts w:ascii="Arial" w:eastAsia="Calibri" w:hAnsi="Arial" w:cs="Arial"/>
          <w:sz w:val="24"/>
          <w:szCs w:val="24"/>
        </w:rPr>
        <w:t xml:space="preserve"> correspondiente al año dos mil veinticinco,</w:t>
      </w:r>
      <w:r w:rsidRPr="00762EAA">
        <w:rPr>
          <w:rFonts w:ascii="Arial" w:eastAsia="Calibri" w:hAnsi="Arial" w:cs="Arial"/>
          <w:sz w:val="24"/>
          <w:szCs w:val="24"/>
        </w:rPr>
        <w:t xml:space="preserve"> los siguientes:</w:t>
      </w:r>
    </w:p>
    <w:p w14:paraId="6551ADA6" w14:textId="77777777" w:rsidR="00CE71C4" w:rsidRPr="00762EAA" w:rsidRDefault="00CE71C4" w:rsidP="00CE71C4">
      <w:pPr>
        <w:spacing w:after="0" w:line="360" w:lineRule="auto"/>
        <w:ind w:firstLine="709"/>
        <w:jc w:val="both"/>
        <w:rPr>
          <w:rFonts w:ascii="Arial" w:eastAsia="Calibri" w:hAnsi="Arial" w:cs="Arial"/>
          <w:sz w:val="24"/>
          <w:szCs w:val="24"/>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04"/>
        <w:gridCol w:w="4404"/>
      </w:tblGrid>
      <w:tr w:rsidR="00CE71C4" w:rsidRPr="00762EAA" w14:paraId="4A43E1AE" w14:textId="77777777" w:rsidTr="008257BC">
        <w:tc>
          <w:tcPr>
            <w:tcW w:w="4414" w:type="dxa"/>
            <w:vAlign w:val="center"/>
          </w:tcPr>
          <w:p w14:paraId="097F9D1D" w14:textId="77777777" w:rsidR="00CE71C4" w:rsidRPr="00762EAA" w:rsidRDefault="00CE71C4" w:rsidP="008257BC">
            <w:pPr>
              <w:jc w:val="both"/>
              <w:rPr>
                <w:rFonts w:ascii="Arial" w:eastAsia="Calibri" w:hAnsi="Arial" w:cs="Arial"/>
                <w:sz w:val="24"/>
                <w:szCs w:val="24"/>
              </w:rPr>
            </w:pPr>
            <w:r w:rsidRPr="00762EAA">
              <w:rPr>
                <w:rFonts w:ascii="Arial" w:eastAsia="Calibri" w:hAnsi="Arial" w:cs="Arial"/>
                <w:sz w:val="24"/>
                <w:szCs w:val="24"/>
              </w:rPr>
              <w:t>Primer periodo vacacional</w:t>
            </w:r>
          </w:p>
        </w:tc>
        <w:tc>
          <w:tcPr>
            <w:tcW w:w="4414" w:type="dxa"/>
            <w:vAlign w:val="center"/>
          </w:tcPr>
          <w:p w14:paraId="7FBB29EA" w14:textId="18970BE4" w:rsidR="00CE71C4" w:rsidRPr="00762EAA" w:rsidRDefault="00E72310" w:rsidP="008257BC">
            <w:pPr>
              <w:jc w:val="both"/>
              <w:rPr>
                <w:rFonts w:ascii="Arial" w:eastAsia="Calibri" w:hAnsi="Arial" w:cs="Arial"/>
                <w:sz w:val="24"/>
                <w:szCs w:val="24"/>
              </w:rPr>
            </w:pPr>
            <w:r>
              <w:rPr>
                <w:rFonts w:ascii="Arial" w:eastAsia="Calibri" w:hAnsi="Arial" w:cs="Arial"/>
                <w:sz w:val="24"/>
                <w:szCs w:val="24"/>
              </w:rPr>
              <w:t>Del 21 de julio al 01 de agosto, para reanudar el 04 de agosto</w:t>
            </w:r>
          </w:p>
        </w:tc>
      </w:tr>
      <w:tr w:rsidR="00CE71C4" w:rsidRPr="00762EAA" w14:paraId="3EF5CCFD" w14:textId="77777777" w:rsidTr="008257BC">
        <w:tc>
          <w:tcPr>
            <w:tcW w:w="4414" w:type="dxa"/>
            <w:vAlign w:val="center"/>
          </w:tcPr>
          <w:p w14:paraId="2935AACD" w14:textId="77777777" w:rsidR="00CE71C4" w:rsidRPr="00762EAA" w:rsidRDefault="00CE71C4" w:rsidP="008257BC">
            <w:pPr>
              <w:jc w:val="both"/>
              <w:rPr>
                <w:rFonts w:ascii="Arial" w:eastAsia="Calibri" w:hAnsi="Arial" w:cs="Arial"/>
                <w:sz w:val="24"/>
                <w:szCs w:val="24"/>
              </w:rPr>
            </w:pPr>
            <w:r w:rsidRPr="00762EAA">
              <w:rPr>
                <w:rFonts w:ascii="Arial" w:eastAsia="Calibri" w:hAnsi="Arial" w:cs="Arial"/>
                <w:sz w:val="24"/>
                <w:szCs w:val="24"/>
              </w:rPr>
              <w:t>Segundo periodo vacacional</w:t>
            </w:r>
          </w:p>
        </w:tc>
        <w:tc>
          <w:tcPr>
            <w:tcW w:w="4414" w:type="dxa"/>
            <w:vAlign w:val="center"/>
          </w:tcPr>
          <w:p w14:paraId="0AE6451B" w14:textId="2569CA9C" w:rsidR="00CE71C4" w:rsidRPr="00762EAA" w:rsidRDefault="00E72310" w:rsidP="008257BC">
            <w:pPr>
              <w:jc w:val="both"/>
              <w:rPr>
                <w:rFonts w:ascii="Arial" w:eastAsia="Calibri" w:hAnsi="Arial" w:cs="Arial"/>
                <w:sz w:val="24"/>
                <w:szCs w:val="24"/>
              </w:rPr>
            </w:pPr>
            <w:r>
              <w:rPr>
                <w:rFonts w:ascii="Arial" w:eastAsia="Calibri" w:hAnsi="Arial" w:cs="Arial"/>
                <w:sz w:val="24"/>
                <w:szCs w:val="24"/>
              </w:rPr>
              <w:t>18 de diciembre al 02 de enero, para reanudar labores el 05 de enero de 2026.</w:t>
            </w:r>
          </w:p>
        </w:tc>
      </w:tr>
    </w:tbl>
    <w:p w14:paraId="76C5D7E1" w14:textId="77777777" w:rsidR="00CE71C4" w:rsidRPr="00762EAA" w:rsidRDefault="00CE71C4" w:rsidP="00CE71C4">
      <w:pPr>
        <w:autoSpaceDE w:val="0"/>
        <w:autoSpaceDN w:val="0"/>
        <w:adjustRightInd w:val="0"/>
        <w:spacing w:after="0" w:line="360" w:lineRule="auto"/>
        <w:ind w:firstLine="709"/>
        <w:jc w:val="both"/>
        <w:rPr>
          <w:rFonts w:ascii="Arial" w:eastAsia="Calibri" w:hAnsi="Arial" w:cs="Arial"/>
          <w:b/>
          <w:bCs/>
          <w:sz w:val="24"/>
          <w:szCs w:val="24"/>
        </w:rPr>
      </w:pPr>
    </w:p>
    <w:p w14:paraId="1EF7C801" w14:textId="55AFA1BB" w:rsidR="00CE71C4" w:rsidRPr="00762EAA" w:rsidRDefault="00CE71C4" w:rsidP="00CE71C4">
      <w:pPr>
        <w:autoSpaceDE w:val="0"/>
        <w:autoSpaceDN w:val="0"/>
        <w:adjustRightInd w:val="0"/>
        <w:spacing w:after="0" w:line="360" w:lineRule="auto"/>
        <w:ind w:firstLine="709"/>
        <w:jc w:val="both"/>
        <w:rPr>
          <w:rFonts w:ascii="Arial" w:hAnsi="Arial" w:cs="Arial"/>
          <w:sz w:val="24"/>
          <w:szCs w:val="24"/>
        </w:rPr>
      </w:pPr>
      <w:r w:rsidRPr="00762EAA">
        <w:rPr>
          <w:rFonts w:ascii="Arial" w:eastAsia="Calibri" w:hAnsi="Arial" w:cs="Arial"/>
          <w:b/>
          <w:bCs/>
          <w:sz w:val="24"/>
          <w:szCs w:val="24"/>
        </w:rPr>
        <w:t>SEGUNDO.</w:t>
      </w:r>
      <w:r w:rsidRPr="00762EAA">
        <w:rPr>
          <w:rFonts w:ascii="Arial" w:eastAsia="Calibri" w:hAnsi="Arial" w:cs="Arial"/>
          <w:sz w:val="24"/>
          <w:szCs w:val="24"/>
        </w:rPr>
        <w:t xml:space="preserve"> </w:t>
      </w:r>
      <w:r w:rsidRPr="00762EAA">
        <w:rPr>
          <w:rFonts w:ascii="Arial" w:hAnsi="Arial" w:cs="Arial"/>
          <w:sz w:val="24"/>
          <w:szCs w:val="24"/>
        </w:rPr>
        <w:t xml:space="preserve">Se faculta a la Presidencia para efecto de que, en caso de requerirlo, se suspendan las labores para las personas servidoras públicas </w:t>
      </w:r>
      <w:r w:rsidR="00342A4D" w:rsidRPr="00762EAA">
        <w:rPr>
          <w:rFonts w:ascii="Arial" w:hAnsi="Arial" w:cs="Arial"/>
          <w:sz w:val="24"/>
          <w:szCs w:val="24"/>
        </w:rPr>
        <w:t xml:space="preserve">de este órgano jurisdiccional </w:t>
      </w:r>
      <w:r w:rsidRPr="00762EAA">
        <w:rPr>
          <w:rFonts w:ascii="Arial" w:hAnsi="Arial" w:cs="Arial"/>
          <w:sz w:val="24"/>
          <w:szCs w:val="24"/>
        </w:rPr>
        <w:t xml:space="preserve">en los días en que por costumbre y/o tradición se realicen festividades en el estado de Chihuahua, por así requerirlo las necesidades del servicio, o por algún evento extraordinario de fuerza mayor. </w:t>
      </w:r>
    </w:p>
    <w:p w14:paraId="22C08C2E" w14:textId="77777777" w:rsidR="00CE71C4" w:rsidRPr="00762EAA" w:rsidRDefault="00CE71C4" w:rsidP="00CE71C4">
      <w:pPr>
        <w:autoSpaceDE w:val="0"/>
        <w:autoSpaceDN w:val="0"/>
        <w:adjustRightInd w:val="0"/>
        <w:spacing w:after="0" w:line="360" w:lineRule="auto"/>
        <w:ind w:firstLine="709"/>
        <w:jc w:val="both"/>
        <w:rPr>
          <w:rFonts w:ascii="Arial" w:hAnsi="Arial" w:cs="Arial"/>
          <w:sz w:val="24"/>
          <w:szCs w:val="24"/>
        </w:rPr>
      </w:pPr>
    </w:p>
    <w:p w14:paraId="75543ABC" w14:textId="77777777" w:rsidR="00F57C30" w:rsidRPr="00762EAA" w:rsidRDefault="00CE71C4" w:rsidP="00F57C30">
      <w:pPr>
        <w:autoSpaceDE w:val="0"/>
        <w:autoSpaceDN w:val="0"/>
        <w:adjustRightInd w:val="0"/>
        <w:spacing w:after="0" w:line="360" w:lineRule="auto"/>
        <w:ind w:firstLine="709"/>
        <w:jc w:val="both"/>
        <w:rPr>
          <w:rFonts w:ascii="Arial" w:hAnsi="Arial" w:cs="Arial"/>
          <w:bCs/>
          <w:sz w:val="24"/>
          <w:szCs w:val="24"/>
        </w:rPr>
      </w:pPr>
      <w:r w:rsidRPr="00762EAA">
        <w:rPr>
          <w:rFonts w:ascii="Arial" w:hAnsi="Arial" w:cs="Arial"/>
          <w:b/>
          <w:bCs/>
          <w:sz w:val="24"/>
          <w:szCs w:val="24"/>
        </w:rPr>
        <w:t>TERCERO.</w:t>
      </w:r>
      <w:r w:rsidRPr="00762EAA">
        <w:rPr>
          <w:rFonts w:ascii="Arial" w:hAnsi="Arial" w:cs="Arial"/>
          <w:sz w:val="24"/>
          <w:szCs w:val="24"/>
        </w:rPr>
        <w:t xml:space="preserve"> </w:t>
      </w:r>
      <w:r w:rsidRPr="00762EAA">
        <w:rPr>
          <w:rFonts w:ascii="Arial" w:hAnsi="Arial" w:cs="Arial"/>
          <w:bCs/>
          <w:sz w:val="24"/>
          <w:szCs w:val="24"/>
        </w:rPr>
        <w:t xml:space="preserve">Para la presentación de promociones el día de su término, se estará a lo dispuesto en el punto de acuerdo </w:t>
      </w:r>
      <w:r w:rsidRPr="00762EAA">
        <w:rPr>
          <w:rFonts w:ascii="Arial" w:hAnsi="Arial" w:cs="Arial"/>
          <w:b/>
          <w:sz w:val="24"/>
          <w:szCs w:val="24"/>
        </w:rPr>
        <w:t>CUARTO</w:t>
      </w:r>
      <w:r w:rsidRPr="00762EAA">
        <w:rPr>
          <w:rFonts w:ascii="Arial" w:hAnsi="Arial" w:cs="Arial"/>
          <w:bCs/>
          <w:sz w:val="24"/>
          <w:szCs w:val="24"/>
        </w:rPr>
        <w:t xml:space="preserve">, párrafo segundo, del acuerdo </w:t>
      </w:r>
      <w:r w:rsidRPr="00762EAA">
        <w:rPr>
          <w:rFonts w:ascii="Arial" w:hAnsi="Arial" w:cs="Arial"/>
          <w:b/>
          <w:i/>
          <w:iCs/>
          <w:sz w:val="24"/>
          <w:szCs w:val="24"/>
        </w:rPr>
        <w:t>AC-PLENO-20/2019</w:t>
      </w:r>
      <w:r w:rsidRPr="00762EAA">
        <w:rPr>
          <w:rFonts w:ascii="Arial" w:hAnsi="Arial" w:cs="Arial"/>
          <w:bCs/>
          <w:sz w:val="24"/>
          <w:szCs w:val="24"/>
        </w:rPr>
        <w:t>, aprobado en sesión de doce de septiembre de dos mil diecinueve.</w:t>
      </w:r>
      <w:r w:rsidRPr="00762EAA">
        <w:rPr>
          <w:rStyle w:val="Refdenotaalpie"/>
          <w:rFonts w:ascii="Arial" w:hAnsi="Arial" w:cs="Arial"/>
          <w:bCs/>
          <w:sz w:val="24"/>
          <w:szCs w:val="24"/>
        </w:rPr>
        <w:footnoteReference w:id="3"/>
      </w:r>
    </w:p>
    <w:p w14:paraId="2A345ECD" w14:textId="77777777" w:rsidR="00F57C30" w:rsidRPr="00762EAA" w:rsidRDefault="00F57C30" w:rsidP="00F57C30">
      <w:pPr>
        <w:autoSpaceDE w:val="0"/>
        <w:autoSpaceDN w:val="0"/>
        <w:adjustRightInd w:val="0"/>
        <w:spacing w:after="0" w:line="360" w:lineRule="auto"/>
        <w:ind w:firstLine="709"/>
        <w:jc w:val="both"/>
        <w:rPr>
          <w:rFonts w:ascii="Arial" w:hAnsi="Arial" w:cs="Arial"/>
          <w:bCs/>
          <w:sz w:val="24"/>
          <w:szCs w:val="24"/>
        </w:rPr>
      </w:pPr>
    </w:p>
    <w:p w14:paraId="2655C17E" w14:textId="3B5E42C5" w:rsidR="00EC351E" w:rsidRPr="00762EAA" w:rsidRDefault="00EC351E" w:rsidP="00F57C30">
      <w:pPr>
        <w:autoSpaceDE w:val="0"/>
        <w:autoSpaceDN w:val="0"/>
        <w:adjustRightInd w:val="0"/>
        <w:spacing w:after="0" w:line="360" w:lineRule="auto"/>
        <w:ind w:firstLine="709"/>
        <w:jc w:val="both"/>
        <w:rPr>
          <w:rFonts w:ascii="Arial" w:hAnsi="Arial" w:cs="Arial"/>
          <w:bCs/>
          <w:sz w:val="24"/>
          <w:szCs w:val="24"/>
        </w:rPr>
      </w:pPr>
      <w:r w:rsidRPr="00762EAA">
        <w:rPr>
          <w:rFonts w:ascii="Arial" w:hAnsi="Arial" w:cs="Arial"/>
          <w:b/>
          <w:sz w:val="24"/>
          <w:szCs w:val="24"/>
        </w:rPr>
        <w:t>CUARTO.</w:t>
      </w:r>
      <w:r w:rsidRPr="00762EAA">
        <w:rPr>
          <w:rFonts w:ascii="Arial" w:hAnsi="Arial" w:cs="Arial"/>
          <w:bCs/>
          <w:sz w:val="24"/>
          <w:szCs w:val="24"/>
        </w:rPr>
        <w:t xml:space="preserve"> </w:t>
      </w:r>
      <w:r w:rsidRPr="00762EAA">
        <w:rPr>
          <w:rFonts w:ascii="Arial" w:hAnsi="Arial" w:cs="Arial"/>
          <w:sz w:val="24"/>
          <w:szCs w:val="24"/>
        </w:rPr>
        <w:t xml:space="preserve">Para la recepción, registro y turno de los documentos dirigidos a este órgano jurisdiccional durante los periodos vacacionales, se habilita al personal de la Oficialía de Partes para que lleve a cabo las actividades necesarias, así como para que elaboren y suscriban los acuerdos de turno respectivos, con la organización que permita su estructura. </w:t>
      </w:r>
    </w:p>
    <w:p w14:paraId="42ECBAC1" w14:textId="77777777" w:rsidR="00EC351E" w:rsidRPr="00762EAA" w:rsidRDefault="00EC351E" w:rsidP="00EC351E">
      <w:pPr>
        <w:spacing w:after="0" w:line="360" w:lineRule="auto"/>
        <w:jc w:val="both"/>
        <w:rPr>
          <w:rFonts w:ascii="Arial" w:hAnsi="Arial" w:cs="Arial"/>
          <w:sz w:val="24"/>
          <w:szCs w:val="24"/>
        </w:rPr>
      </w:pPr>
    </w:p>
    <w:p w14:paraId="092833BB" w14:textId="78219BF6" w:rsidR="00EC351E" w:rsidRPr="00762EAA" w:rsidRDefault="00EC351E" w:rsidP="00CE71C4">
      <w:pPr>
        <w:autoSpaceDE w:val="0"/>
        <w:autoSpaceDN w:val="0"/>
        <w:adjustRightInd w:val="0"/>
        <w:spacing w:after="0" w:line="360" w:lineRule="auto"/>
        <w:ind w:firstLine="709"/>
        <w:jc w:val="both"/>
        <w:rPr>
          <w:rFonts w:ascii="Arial" w:hAnsi="Arial" w:cs="Arial"/>
          <w:bCs/>
          <w:sz w:val="24"/>
          <w:szCs w:val="24"/>
        </w:rPr>
      </w:pPr>
      <w:r w:rsidRPr="00762EAA">
        <w:rPr>
          <w:rFonts w:ascii="Arial" w:hAnsi="Arial" w:cs="Arial"/>
          <w:b/>
          <w:sz w:val="24"/>
          <w:szCs w:val="24"/>
        </w:rPr>
        <w:t>QUINTO.</w:t>
      </w:r>
      <w:r w:rsidRPr="00762EAA">
        <w:rPr>
          <w:rFonts w:ascii="Arial" w:hAnsi="Arial" w:cs="Arial"/>
          <w:bCs/>
          <w:sz w:val="24"/>
          <w:szCs w:val="24"/>
        </w:rPr>
        <w:t xml:space="preserve"> De conformidad con la organización interna de este órgano jurisdiccional se adopta el rol de guardias siguiente:</w:t>
      </w:r>
    </w:p>
    <w:p w14:paraId="45ED9AF6" w14:textId="77777777" w:rsidR="00EC351E" w:rsidRPr="00762EAA" w:rsidRDefault="00EC351E" w:rsidP="00CE71C4">
      <w:pPr>
        <w:autoSpaceDE w:val="0"/>
        <w:autoSpaceDN w:val="0"/>
        <w:adjustRightInd w:val="0"/>
        <w:spacing w:after="0" w:line="360" w:lineRule="auto"/>
        <w:ind w:firstLine="709"/>
        <w:jc w:val="both"/>
        <w:rPr>
          <w:rFonts w:ascii="Arial" w:hAnsi="Arial" w:cs="Arial"/>
          <w:bCs/>
          <w:sz w:val="24"/>
          <w:szCs w:val="24"/>
        </w:rPr>
      </w:pPr>
    </w:p>
    <w:tbl>
      <w:tblPr>
        <w:tblStyle w:val="Tablaconcuadrcula"/>
        <w:tblW w:w="0" w:type="auto"/>
        <w:tblLook w:val="04A0" w:firstRow="1" w:lastRow="0" w:firstColumn="1" w:lastColumn="0" w:noHBand="0" w:noVBand="1"/>
      </w:tblPr>
      <w:tblGrid>
        <w:gridCol w:w="4414"/>
        <w:gridCol w:w="4414"/>
      </w:tblGrid>
      <w:tr w:rsidR="00EC351E" w:rsidRPr="00762EAA" w14:paraId="14CD2667" w14:textId="77777777" w:rsidTr="00EC351E">
        <w:tc>
          <w:tcPr>
            <w:tcW w:w="4414" w:type="dxa"/>
          </w:tcPr>
          <w:p w14:paraId="58A38F78" w14:textId="19BD3D06" w:rsidR="00EC351E" w:rsidRPr="00762EAA" w:rsidRDefault="00EC351E" w:rsidP="00EC351E">
            <w:pPr>
              <w:autoSpaceDE w:val="0"/>
              <w:autoSpaceDN w:val="0"/>
              <w:adjustRightInd w:val="0"/>
              <w:jc w:val="center"/>
              <w:rPr>
                <w:rFonts w:ascii="Arial" w:hAnsi="Arial" w:cs="Arial"/>
                <w:b/>
                <w:bCs/>
                <w:i/>
                <w:iCs/>
                <w:sz w:val="24"/>
                <w:szCs w:val="24"/>
              </w:rPr>
            </w:pPr>
            <w:r w:rsidRPr="00762EAA">
              <w:rPr>
                <w:rFonts w:ascii="Arial" w:hAnsi="Arial" w:cs="Arial"/>
                <w:b/>
                <w:bCs/>
                <w:i/>
                <w:iCs/>
                <w:sz w:val="24"/>
                <w:szCs w:val="24"/>
              </w:rPr>
              <w:t>Periodo vacacional</w:t>
            </w:r>
          </w:p>
        </w:tc>
        <w:tc>
          <w:tcPr>
            <w:tcW w:w="4414" w:type="dxa"/>
          </w:tcPr>
          <w:p w14:paraId="15C3D4F3" w14:textId="1E278D03" w:rsidR="00EC351E" w:rsidRPr="00762EAA" w:rsidRDefault="00EC351E" w:rsidP="00EC351E">
            <w:pPr>
              <w:autoSpaceDE w:val="0"/>
              <w:autoSpaceDN w:val="0"/>
              <w:adjustRightInd w:val="0"/>
              <w:jc w:val="center"/>
              <w:rPr>
                <w:rFonts w:ascii="Arial" w:hAnsi="Arial" w:cs="Arial"/>
                <w:b/>
                <w:bCs/>
                <w:i/>
                <w:iCs/>
                <w:sz w:val="24"/>
                <w:szCs w:val="24"/>
              </w:rPr>
            </w:pPr>
            <w:r w:rsidRPr="00762EAA">
              <w:rPr>
                <w:rFonts w:ascii="Arial" w:hAnsi="Arial" w:cs="Arial"/>
                <w:b/>
                <w:bCs/>
                <w:i/>
                <w:iCs/>
                <w:sz w:val="24"/>
                <w:szCs w:val="24"/>
              </w:rPr>
              <w:t>Sala</w:t>
            </w:r>
          </w:p>
        </w:tc>
      </w:tr>
      <w:tr w:rsidR="00EC351E" w:rsidRPr="00762EAA" w14:paraId="2B1C18F1" w14:textId="77777777" w:rsidTr="00EC351E">
        <w:tc>
          <w:tcPr>
            <w:tcW w:w="4414" w:type="dxa"/>
          </w:tcPr>
          <w:p w14:paraId="1D46F2C5" w14:textId="287679EC" w:rsidR="00EC351E" w:rsidRPr="00762EAA" w:rsidRDefault="00EC351E" w:rsidP="00171106">
            <w:pPr>
              <w:autoSpaceDE w:val="0"/>
              <w:autoSpaceDN w:val="0"/>
              <w:adjustRightInd w:val="0"/>
              <w:jc w:val="right"/>
              <w:rPr>
                <w:rFonts w:ascii="Arial" w:hAnsi="Arial" w:cs="Arial"/>
                <w:sz w:val="24"/>
                <w:szCs w:val="24"/>
              </w:rPr>
            </w:pPr>
            <w:r w:rsidRPr="00762EAA">
              <w:rPr>
                <w:rFonts w:ascii="Arial" w:hAnsi="Arial" w:cs="Arial"/>
                <w:sz w:val="24"/>
                <w:szCs w:val="24"/>
              </w:rPr>
              <w:t>Primer periodo vacacional</w:t>
            </w:r>
          </w:p>
        </w:tc>
        <w:tc>
          <w:tcPr>
            <w:tcW w:w="4414" w:type="dxa"/>
          </w:tcPr>
          <w:p w14:paraId="45DC2FA1" w14:textId="79CFE0A3" w:rsidR="00EC351E" w:rsidRPr="00762EAA" w:rsidRDefault="00171106" w:rsidP="00171106">
            <w:pPr>
              <w:autoSpaceDE w:val="0"/>
              <w:autoSpaceDN w:val="0"/>
              <w:adjustRightInd w:val="0"/>
              <w:jc w:val="right"/>
              <w:rPr>
                <w:rFonts w:ascii="Arial" w:hAnsi="Arial" w:cs="Arial"/>
                <w:sz w:val="24"/>
                <w:szCs w:val="24"/>
              </w:rPr>
            </w:pPr>
            <w:r w:rsidRPr="00762EAA">
              <w:rPr>
                <w:rFonts w:ascii="Arial" w:hAnsi="Arial" w:cs="Arial"/>
                <w:sz w:val="24"/>
                <w:szCs w:val="24"/>
              </w:rPr>
              <w:t>Segunda</w:t>
            </w:r>
          </w:p>
        </w:tc>
      </w:tr>
      <w:tr w:rsidR="00EC351E" w:rsidRPr="00762EAA" w14:paraId="51C23FCD" w14:textId="77777777" w:rsidTr="00EC351E">
        <w:tc>
          <w:tcPr>
            <w:tcW w:w="4414" w:type="dxa"/>
          </w:tcPr>
          <w:p w14:paraId="1EDCBEB4" w14:textId="1BDDBA73" w:rsidR="00EC351E" w:rsidRPr="00762EAA" w:rsidRDefault="00EC351E" w:rsidP="00171106">
            <w:pPr>
              <w:autoSpaceDE w:val="0"/>
              <w:autoSpaceDN w:val="0"/>
              <w:adjustRightInd w:val="0"/>
              <w:jc w:val="right"/>
              <w:rPr>
                <w:rFonts w:ascii="Arial" w:hAnsi="Arial" w:cs="Arial"/>
                <w:sz w:val="24"/>
                <w:szCs w:val="24"/>
              </w:rPr>
            </w:pPr>
            <w:r w:rsidRPr="00762EAA">
              <w:rPr>
                <w:rFonts w:ascii="Arial" w:hAnsi="Arial" w:cs="Arial"/>
                <w:sz w:val="24"/>
                <w:szCs w:val="24"/>
              </w:rPr>
              <w:t>Segundo periodo vacacional</w:t>
            </w:r>
          </w:p>
        </w:tc>
        <w:tc>
          <w:tcPr>
            <w:tcW w:w="4414" w:type="dxa"/>
          </w:tcPr>
          <w:p w14:paraId="158CB32B" w14:textId="6091CAE1" w:rsidR="00EC351E" w:rsidRPr="00762EAA" w:rsidRDefault="00171106" w:rsidP="00171106">
            <w:pPr>
              <w:autoSpaceDE w:val="0"/>
              <w:autoSpaceDN w:val="0"/>
              <w:adjustRightInd w:val="0"/>
              <w:jc w:val="right"/>
              <w:rPr>
                <w:rFonts w:ascii="Arial" w:hAnsi="Arial" w:cs="Arial"/>
                <w:sz w:val="24"/>
                <w:szCs w:val="24"/>
              </w:rPr>
            </w:pPr>
            <w:r w:rsidRPr="00762EAA">
              <w:rPr>
                <w:rFonts w:ascii="Arial" w:hAnsi="Arial" w:cs="Arial"/>
                <w:sz w:val="24"/>
                <w:szCs w:val="24"/>
              </w:rPr>
              <w:t>Tercera</w:t>
            </w:r>
          </w:p>
        </w:tc>
      </w:tr>
    </w:tbl>
    <w:p w14:paraId="174E93C1" w14:textId="77777777" w:rsidR="00EC351E" w:rsidRPr="00762EAA" w:rsidRDefault="00EC351E" w:rsidP="00EC351E">
      <w:pPr>
        <w:autoSpaceDE w:val="0"/>
        <w:autoSpaceDN w:val="0"/>
        <w:adjustRightInd w:val="0"/>
        <w:spacing w:after="0" w:line="240" w:lineRule="auto"/>
        <w:ind w:firstLine="709"/>
        <w:jc w:val="both"/>
        <w:rPr>
          <w:rFonts w:ascii="Arial" w:hAnsi="Arial" w:cs="Arial"/>
          <w:sz w:val="24"/>
          <w:szCs w:val="24"/>
        </w:rPr>
      </w:pPr>
    </w:p>
    <w:p w14:paraId="43344E98" w14:textId="77777777" w:rsidR="00CE71C4" w:rsidRPr="00762EAA" w:rsidRDefault="00CE71C4" w:rsidP="00F57C30">
      <w:pPr>
        <w:spacing w:after="0" w:line="360" w:lineRule="auto"/>
        <w:ind w:firstLine="709"/>
        <w:jc w:val="both"/>
        <w:rPr>
          <w:rFonts w:ascii="Arial" w:hAnsi="Arial" w:cs="Arial"/>
          <w:sz w:val="24"/>
          <w:szCs w:val="24"/>
        </w:rPr>
      </w:pPr>
    </w:p>
    <w:p w14:paraId="75262EFE" w14:textId="1A6A11B9" w:rsidR="00EC351E" w:rsidRPr="00762EAA" w:rsidRDefault="00EC351E" w:rsidP="00F57C30">
      <w:pPr>
        <w:spacing w:after="0" w:line="360" w:lineRule="auto"/>
        <w:ind w:firstLine="709"/>
        <w:jc w:val="both"/>
        <w:rPr>
          <w:rFonts w:ascii="Arial" w:hAnsi="Arial" w:cs="Arial"/>
          <w:sz w:val="24"/>
          <w:szCs w:val="24"/>
        </w:rPr>
      </w:pPr>
      <w:r w:rsidRPr="00762EAA">
        <w:rPr>
          <w:rFonts w:ascii="Arial" w:hAnsi="Arial" w:cs="Arial"/>
          <w:sz w:val="24"/>
          <w:szCs w:val="24"/>
        </w:rPr>
        <w:t>Lo anterior, en el entendido de que las Salas quedan facultadas para atender y resolver los casos urgentes que no admitan demora, las peticiones de medidas cautelares y de suspensión del acto o resolución impugnadas en los términos de la Ley de Justicia Administrativa del Estado.</w:t>
      </w:r>
    </w:p>
    <w:p w14:paraId="19E2C97A" w14:textId="77777777" w:rsidR="00EC351E" w:rsidRPr="00762EAA" w:rsidRDefault="00EC351E" w:rsidP="00F57C30">
      <w:pPr>
        <w:spacing w:after="0" w:line="360" w:lineRule="auto"/>
        <w:ind w:firstLine="709"/>
        <w:jc w:val="both"/>
        <w:rPr>
          <w:rFonts w:ascii="Arial" w:hAnsi="Arial" w:cs="Arial"/>
          <w:sz w:val="24"/>
          <w:szCs w:val="24"/>
        </w:rPr>
      </w:pPr>
    </w:p>
    <w:p w14:paraId="6A83DD97" w14:textId="77777777" w:rsidR="00EC351E" w:rsidRPr="00762EAA" w:rsidRDefault="00EC351E" w:rsidP="00F57C30">
      <w:pPr>
        <w:spacing w:after="0" w:line="360" w:lineRule="auto"/>
        <w:ind w:firstLine="709"/>
        <w:jc w:val="both"/>
        <w:rPr>
          <w:rFonts w:ascii="Arial" w:hAnsi="Arial" w:cs="Arial"/>
          <w:sz w:val="24"/>
          <w:szCs w:val="24"/>
        </w:rPr>
      </w:pPr>
      <w:r w:rsidRPr="00762EAA">
        <w:rPr>
          <w:rFonts w:ascii="Arial" w:hAnsi="Arial" w:cs="Arial"/>
          <w:b/>
          <w:bCs/>
          <w:sz w:val="24"/>
          <w:szCs w:val="24"/>
        </w:rPr>
        <w:t>SEXTO.</w:t>
      </w:r>
      <w:r w:rsidRPr="00762EAA">
        <w:rPr>
          <w:rFonts w:ascii="Arial" w:hAnsi="Arial" w:cs="Arial"/>
          <w:sz w:val="24"/>
          <w:szCs w:val="24"/>
        </w:rPr>
        <w:t xml:space="preserve"> Las personas servidoras públicas de la adscripción de las Salas precisadas en el punto de acuerdo anterior, serán responsables de cubrir la guardia durante el primero y segundo periodo vacacionales de la presente anualidad, respectivamente, para lo cual se les habilita para tramitar y resolver las solicitudes urgentes que se presenten durante dicha temporalidad, sin que esto implique una modificación del turno que lleva la Oficialía de Partes. </w:t>
      </w:r>
    </w:p>
    <w:p w14:paraId="1CA13544" w14:textId="77777777" w:rsidR="00EC351E" w:rsidRPr="00762EAA" w:rsidRDefault="00EC351E" w:rsidP="00F57C30">
      <w:pPr>
        <w:spacing w:after="0" w:line="360" w:lineRule="auto"/>
        <w:ind w:firstLine="709"/>
        <w:jc w:val="both"/>
        <w:rPr>
          <w:rFonts w:ascii="Arial" w:hAnsi="Arial" w:cs="Arial"/>
          <w:sz w:val="24"/>
          <w:szCs w:val="24"/>
        </w:rPr>
      </w:pPr>
    </w:p>
    <w:p w14:paraId="34CC5393" w14:textId="50A1697F" w:rsidR="00EC351E" w:rsidRPr="00762EAA" w:rsidRDefault="00EC351E" w:rsidP="00F57C30">
      <w:pPr>
        <w:spacing w:after="0" w:line="360" w:lineRule="auto"/>
        <w:ind w:firstLine="709"/>
        <w:jc w:val="both"/>
        <w:rPr>
          <w:rFonts w:ascii="Arial" w:hAnsi="Arial" w:cs="Arial"/>
          <w:b/>
          <w:bCs/>
          <w:i/>
          <w:iCs/>
          <w:sz w:val="24"/>
          <w:szCs w:val="24"/>
        </w:rPr>
      </w:pPr>
      <w:r w:rsidRPr="00762EAA">
        <w:rPr>
          <w:rFonts w:ascii="Arial" w:hAnsi="Arial" w:cs="Arial"/>
          <w:b/>
          <w:bCs/>
          <w:sz w:val="24"/>
          <w:szCs w:val="24"/>
        </w:rPr>
        <w:t>SÉPTIMO.</w:t>
      </w:r>
      <w:r w:rsidRPr="00762EAA">
        <w:rPr>
          <w:rFonts w:ascii="Arial" w:hAnsi="Arial" w:cs="Arial"/>
          <w:sz w:val="24"/>
          <w:szCs w:val="24"/>
        </w:rPr>
        <w:t xml:space="preserve"> Las Magistraturas designadas para cubrir las guardias correspondientes, calificarán, tramitarán y resolverán lo conducente en los casos de medidas cautelares y de suspensión que sean presentadas ante este órgano jurisdiccional, sin importar si se trata de un asunto de nuevo ingreso, o de un juicio en curso, ante cualquiera de las Salas, de conformidad con las recomendaciones aprobadas en el acuerdo plenario identificado con la clave </w:t>
      </w:r>
      <w:r w:rsidRPr="00762EAA">
        <w:rPr>
          <w:rFonts w:ascii="Arial" w:hAnsi="Arial" w:cs="Arial"/>
          <w:b/>
          <w:bCs/>
          <w:i/>
          <w:iCs/>
          <w:sz w:val="24"/>
          <w:szCs w:val="24"/>
        </w:rPr>
        <w:t>AC-PLENO-40/2019.</w:t>
      </w:r>
    </w:p>
    <w:p w14:paraId="7FB2CA68" w14:textId="77777777" w:rsidR="00EC351E" w:rsidRPr="00762EAA" w:rsidRDefault="00EC351E" w:rsidP="00F57C30">
      <w:pPr>
        <w:spacing w:after="0" w:line="360" w:lineRule="auto"/>
        <w:ind w:firstLine="709"/>
        <w:jc w:val="both"/>
        <w:rPr>
          <w:rFonts w:ascii="Arial" w:hAnsi="Arial" w:cs="Arial"/>
          <w:sz w:val="24"/>
          <w:szCs w:val="24"/>
        </w:rPr>
      </w:pPr>
    </w:p>
    <w:p w14:paraId="28836F55" w14:textId="37627995" w:rsidR="00EC351E" w:rsidRPr="00762EAA" w:rsidRDefault="00EC351E" w:rsidP="00F57C30">
      <w:pPr>
        <w:spacing w:after="0" w:line="360" w:lineRule="auto"/>
        <w:ind w:firstLine="709"/>
        <w:jc w:val="both"/>
        <w:rPr>
          <w:rFonts w:ascii="Arial" w:hAnsi="Arial" w:cs="Arial"/>
          <w:sz w:val="24"/>
          <w:szCs w:val="24"/>
        </w:rPr>
      </w:pPr>
      <w:r w:rsidRPr="00762EAA">
        <w:rPr>
          <w:rFonts w:ascii="Arial" w:hAnsi="Arial" w:cs="Arial"/>
          <w:b/>
          <w:bCs/>
          <w:sz w:val="24"/>
          <w:szCs w:val="24"/>
        </w:rPr>
        <w:t>OCTAVO.</w:t>
      </w:r>
      <w:r w:rsidRPr="00762EAA">
        <w:rPr>
          <w:rFonts w:ascii="Arial" w:hAnsi="Arial" w:cs="Arial"/>
          <w:sz w:val="24"/>
          <w:szCs w:val="24"/>
        </w:rPr>
        <w:t xml:space="preserve"> Se faculta a las Magistraturas responsables de la guardia para habilitar a las personas servidoras públicas de su adscripción </w:t>
      </w:r>
      <w:r w:rsidR="00574AD7" w:rsidRPr="00762EAA">
        <w:rPr>
          <w:rFonts w:ascii="Arial" w:hAnsi="Arial" w:cs="Arial"/>
          <w:sz w:val="24"/>
          <w:szCs w:val="24"/>
        </w:rPr>
        <w:t>a fin de que estas puedan llevar a cabo todas las actividades y tareas que resulten necesarias para hacer frente a las responsabilidades propias de la función jurisdiccional, para lo cual bastará un oficio dirigido a la Presidencia en el cual se señalen las personas servidoras públicas de su Sala que la cubrirán, para que se comunique al personal y al público en general.</w:t>
      </w:r>
    </w:p>
    <w:p w14:paraId="2250E3AE" w14:textId="77777777" w:rsidR="00574AD7" w:rsidRPr="00762EAA" w:rsidRDefault="00574AD7" w:rsidP="00F57C30">
      <w:pPr>
        <w:spacing w:after="0" w:line="360" w:lineRule="auto"/>
        <w:ind w:firstLine="709"/>
        <w:jc w:val="both"/>
        <w:rPr>
          <w:rFonts w:ascii="Arial" w:hAnsi="Arial" w:cs="Arial"/>
          <w:sz w:val="24"/>
          <w:szCs w:val="24"/>
        </w:rPr>
      </w:pPr>
    </w:p>
    <w:p w14:paraId="406F7276" w14:textId="21EA3889" w:rsidR="00574AD7" w:rsidRPr="00762EAA" w:rsidRDefault="00574AD7" w:rsidP="00F57C30">
      <w:pPr>
        <w:spacing w:after="0" w:line="360" w:lineRule="auto"/>
        <w:ind w:firstLine="709"/>
        <w:jc w:val="both"/>
        <w:rPr>
          <w:rFonts w:ascii="Arial" w:hAnsi="Arial" w:cs="Arial"/>
          <w:sz w:val="24"/>
          <w:szCs w:val="24"/>
        </w:rPr>
      </w:pPr>
      <w:r w:rsidRPr="00762EAA">
        <w:rPr>
          <w:rFonts w:ascii="Arial" w:hAnsi="Arial" w:cs="Arial"/>
          <w:sz w:val="24"/>
          <w:szCs w:val="24"/>
        </w:rPr>
        <w:t>La habilitación de personas servidoras públicas para desempeñar funciones de un cargo diverso al ocupado no generará ningún derecho a favor de estas.</w:t>
      </w:r>
    </w:p>
    <w:p w14:paraId="7BC745DF" w14:textId="77777777" w:rsidR="00574AD7" w:rsidRPr="00762EAA" w:rsidRDefault="00574AD7" w:rsidP="00F57C30">
      <w:pPr>
        <w:spacing w:after="0" w:line="360" w:lineRule="auto"/>
        <w:ind w:firstLine="709"/>
        <w:jc w:val="both"/>
        <w:rPr>
          <w:rFonts w:ascii="Arial" w:hAnsi="Arial" w:cs="Arial"/>
          <w:sz w:val="24"/>
          <w:szCs w:val="24"/>
        </w:rPr>
      </w:pPr>
    </w:p>
    <w:p w14:paraId="261AA8A9" w14:textId="624E0D97" w:rsidR="00574AD7" w:rsidRPr="00762EAA" w:rsidRDefault="00574AD7" w:rsidP="00F57C30">
      <w:pPr>
        <w:spacing w:after="0" w:line="360" w:lineRule="auto"/>
        <w:ind w:firstLine="709"/>
        <w:jc w:val="both"/>
        <w:rPr>
          <w:rFonts w:ascii="Arial" w:hAnsi="Arial" w:cs="Arial"/>
          <w:sz w:val="24"/>
          <w:szCs w:val="24"/>
        </w:rPr>
      </w:pPr>
      <w:r w:rsidRPr="00762EAA">
        <w:rPr>
          <w:rFonts w:ascii="Arial" w:hAnsi="Arial" w:cs="Arial"/>
          <w:b/>
          <w:bCs/>
          <w:sz w:val="24"/>
          <w:szCs w:val="24"/>
        </w:rPr>
        <w:t>NOVENO.</w:t>
      </w:r>
      <w:r w:rsidRPr="00762EAA">
        <w:rPr>
          <w:rFonts w:ascii="Arial" w:hAnsi="Arial" w:cs="Arial"/>
          <w:sz w:val="24"/>
          <w:szCs w:val="24"/>
        </w:rPr>
        <w:t xml:space="preserve"> Las Secretarías de Acuerdos de las guardias designadas, además de las funciones encomendadas por la ley, estarán habilitadas para actuar como Oficialía jurisdiccional o como Actuaría, según lo requieran las necesidades del servicio que se presentan durante los periodos vacacionales. </w:t>
      </w:r>
    </w:p>
    <w:p w14:paraId="3F2FEC81" w14:textId="77777777" w:rsidR="00574AD7" w:rsidRPr="00762EAA" w:rsidRDefault="00574AD7" w:rsidP="00F57C30">
      <w:pPr>
        <w:spacing w:after="0" w:line="360" w:lineRule="auto"/>
        <w:ind w:firstLine="709"/>
        <w:jc w:val="both"/>
        <w:rPr>
          <w:rFonts w:ascii="Arial" w:hAnsi="Arial" w:cs="Arial"/>
          <w:sz w:val="24"/>
          <w:szCs w:val="24"/>
        </w:rPr>
      </w:pPr>
    </w:p>
    <w:p w14:paraId="7D405C88" w14:textId="1F3A6207" w:rsidR="00574AD7" w:rsidRPr="00762EAA" w:rsidRDefault="00574AD7" w:rsidP="00F57C30">
      <w:pPr>
        <w:spacing w:after="0" w:line="360" w:lineRule="auto"/>
        <w:ind w:firstLine="709"/>
        <w:jc w:val="both"/>
        <w:rPr>
          <w:rFonts w:ascii="Arial" w:hAnsi="Arial" w:cs="Arial"/>
          <w:sz w:val="24"/>
          <w:szCs w:val="24"/>
        </w:rPr>
      </w:pPr>
      <w:r w:rsidRPr="00762EAA">
        <w:rPr>
          <w:rFonts w:ascii="Arial" w:hAnsi="Arial" w:cs="Arial"/>
          <w:b/>
          <w:bCs/>
          <w:sz w:val="24"/>
          <w:szCs w:val="24"/>
        </w:rPr>
        <w:t>DÉCIMO.</w:t>
      </w:r>
      <w:r w:rsidRPr="00762EAA">
        <w:rPr>
          <w:rFonts w:ascii="Arial" w:hAnsi="Arial" w:cs="Arial"/>
          <w:sz w:val="24"/>
          <w:szCs w:val="24"/>
        </w:rPr>
        <w:t xml:space="preserve"> Las Oficialías jurisdiccionales de las guardias designadas, además de las funciones encomendadas por la ley, estarán habilitadas para actuar como Actuaría o como escribientes, según lo requieran las necesidades del servicio que se presentan durante los periodos vacacionales. </w:t>
      </w:r>
    </w:p>
    <w:p w14:paraId="3A499A9F" w14:textId="77777777" w:rsidR="00574AD7" w:rsidRPr="00762EAA" w:rsidRDefault="00574AD7" w:rsidP="00F57C30">
      <w:pPr>
        <w:spacing w:after="0" w:line="360" w:lineRule="auto"/>
        <w:ind w:firstLine="709"/>
        <w:jc w:val="both"/>
        <w:rPr>
          <w:rFonts w:ascii="Arial" w:hAnsi="Arial" w:cs="Arial"/>
          <w:sz w:val="24"/>
          <w:szCs w:val="24"/>
        </w:rPr>
      </w:pPr>
    </w:p>
    <w:p w14:paraId="292ADB19" w14:textId="4866094E" w:rsidR="00574AD7" w:rsidRPr="00762EAA" w:rsidRDefault="00574AD7" w:rsidP="00F57C30">
      <w:pPr>
        <w:spacing w:after="0" w:line="360" w:lineRule="auto"/>
        <w:ind w:firstLine="709"/>
        <w:jc w:val="both"/>
        <w:rPr>
          <w:rFonts w:ascii="Arial" w:hAnsi="Arial" w:cs="Arial"/>
          <w:sz w:val="24"/>
          <w:szCs w:val="24"/>
        </w:rPr>
      </w:pPr>
      <w:r w:rsidRPr="00762EAA">
        <w:rPr>
          <w:rFonts w:ascii="Arial" w:hAnsi="Arial" w:cs="Arial"/>
          <w:b/>
          <w:bCs/>
          <w:sz w:val="24"/>
          <w:szCs w:val="24"/>
        </w:rPr>
        <w:t>DÉCIMO PRIMERO.</w:t>
      </w:r>
      <w:r w:rsidRPr="00762EAA">
        <w:rPr>
          <w:rFonts w:ascii="Arial" w:hAnsi="Arial" w:cs="Arial"/>
          <w:sz w:val="24"/>
          <w:szCs w:val="24"/>
        </w:rPr>
        <w:t xml:space="preserve"> Una vez concluido el periodo vacacional, las personas servidoras públicas que hayan cubierto las respectivas guardias, estarán en aptitud de gozar de sus vacaciones, para lo cual bastará el oficio o aviso de visto bueno por parte de la persona titular de la Sala de su adscripción a la Coordinación Administrativa, con copia al Departamento de Recursos Humanos.</w:t>
      </w:r>
    </w:p>
    <w:p w14:paraId="04EB66A8" w14:textId="77777777" w:rsidR="00574AD7" w:rsidRPr="00762EAA" w:rsidRDefault="00574AD7" w:rsidP="00F57C30">
      <w:pPr>
        <w:spacing w:after="0" w:line="360" w:lineRule="auto"/>
        <w:ind w:firstLine="709"/>
        <w:jc w:val="both"/>
        <w:rPr>
          <w:rFonts w:ascii="Arial" w:hAnsi="Arial" w:cs="Arial"/>
          <w:sz w:val="24"/>
          <w:szCs w:val="24"/>
        </w:rPr>
      </w:pPr>
    </w:p>
    <w:p w14:paraId="5ACA85CC" w14:textId="246EC5F2" w:rsidR="00574AD7" w:rsidRPr="00762EAA" w:rsidRDefault="00574AD7" w:rsidP="00F57C30">
      <w:pPr>
        <w:spacing w:after="0" w:line="360" w:lineRule="auto"/>
        <w:ind w:firstLine="709"/>
        <w:jc w:val="both"/>
        <w:rPr>
          <w:rFonts w:ascii="Arial" w:hAnsi="Arial" w:cs="Arial"/>
          <w:sz w:val="24"/>
          <w:szCs w:val="24"/>
        </w:rPr>
      </w:pPr>
      <w:r w:rsidRPr="00762EAA">
        <w:rPr>
          <w:rFonts w:ascii="Arial" w:hAnsi="Arial" w:cs="Arial"/>
          <w:sz w:val="24"/>
          <w:szCs w:val="24"/>
        </w:rPr>
        <w:t xml:space="preserve">En el caso de las personas titulares de las Salas, darán aviso al Pleno y a la Coordinación Administrativa, con copia al Departamento de Recursos Humanos, señalando los días que disfrutarán de vacaciones, quedando desde este momento aprobada la suplencia temporal por la persona titular de la Primer Secretaría de Acuerdos de la Sala. </w:t>
      </w:r>
    </w:p>
    <w:p w14:paraId="2143701C" w14:textId="77777777" w:rsidR="00574AD7" w:rsidRPr="00762EAA" w:rsidRDefault="00574AD7" w:rsidP="00F57C30">
      <w:pPr>
        <w:spacing w:after="0" w:line="360" w:lineRule="auto"/>
        <w:ind w:firstLine="709"/>
        <w:jc w:val="both"/>
        <w:rPr>
          <w:rFonts w:ascii="Arial" w:hAnsi="Arial" w:cs="Arial"/>
          <w:sz w:val="24"/>
          <w:szCs w:val="24"/>
        </w:rPr>
      </w:pPr>
    </w:p>
    <w:p w14:paraId="6CDDD0F6" w14:textId="462EF909" w:rsidR="00574AD7" w:rsidRPr="00762EAA" w:rsidRDefault="00574AD7" w:rsidP="00F57C30">
      <w:pPr>
        <w:spacing w:after="0" w:line="360" w:lineRule="auto"/>
        <w:ind w:firstLine="709"/>
        <w:jc w:val="both"/>
        <w:rPr>
          <w:rFonts w:ascii="Arial" w:hAnsi="Arial" w:cs="Arial"/>
          <w:sz w:val="24"/>
          <w:szCs w:val="24"/>
        </w:rPr>
      </w:pPr>
      <w:r w:rsidRPr="00762EAA">
        <w:rPr>
          <w:rFonts w:ascii="Arial" w:hAnsi="Arial" w:cs="Arial"/>
          <w:b/>
          <w:bCs/>
          <w:sz w:val="24"/>
          <w:szCs w:val="24"/>
        </w:rPr>
        <w:t>DÉCIMO SEGUNDO.</w:t>
      </w:r>
      <w:r w:rsidRPr="00762EAA">
        <w:rPr>
          <w:rFonts w:ascii="Arial" w:hAnsi="Arial" w:cs="Arial"/>
          <w:sz w:val="24"/>
          <w:szCs w:val="24"/>
        </w:rPr>
        <w:t xml:space="preserve"> </w:t>
      </w:r>
      <w:r w:rsidR="00BA7D38" w:rsidRPr="00762EAA">
        <w:rPr>
          <w:rFonts w:ascii="Arial" w:hAnsi="Arial" w:cs="Arial"/>
          <w:sz w:val="24"/>
          <w:szCs w:val="24"/>
        </w:rPr>
        <w:t>Durante los periodos vacacionales, e</w:t>
      </w:r>
      <w:r w:rsidRPr="00762EAA">
        <w:rPr>
          <w:rFonts w:ascii="Arial" w:hAnsi="Arial" w:cs="Arial"/>
          <w:sz w:val="24"/>
          <w:szCs w:val="24"/>
        </w:rPr>
        <w:t>l personal de la Oficialía de Partes sólo recibirá promociones o demandas de casos urgentes que no admitan demora, relacionadas con la atención de medidas cautelares o de suspensión del acto o resolución impugnados, como lo señala el artículo 24 de la Ley de Justicia Administrativa del Estado.</w:t>
      </w:r>
    </w:p>
    <w:p w14:paraId="772AD700" w14:textId="77777777" w:rsidR="00574AD7" w:rsidRPr="00762EAA" w:rsidRDefault="00574AD7" w:rsidP="00F57C30">
      <w:pPr>
        <w:spacing w:after="0" w:line="360" w:lineRule="auto"/>
        <w:ind w:firstLine="709"/>
        <w:jc w:val="both"/>
        <w:rPr>
          <w:rFonts w:ascii="Arial" w:hAnsi="Arial" w:cs="Arial"/>
          <w:sz w:val="24"/>
          <w:szCs w:val="24"/>
        </w:rPr>
      </w:pPr>
    </w:p>
    <w:p w14:paraId="7562601F" w14:textId="121C8573" w:rsidR="00574AD7" w:rsidRPr="00762EAA" w:rsidRDefault="00574AD7" w:rsidP="00F57C30">
      <w:pPr>
        <w:spacing w:after="0" w:line="360" w:lineRule="auto"/>
        <w:ind w:firstLine="709"/>
        <w:jc w:val="both"/>
        <w:rPr>
          <w:rFonts w:ascii="Arial" w:hAnsi="Arial" w:cs="Arial"/>
          <w:sz w:val="24"/>
          <w:szCs w:val="24"/>
        </w:rPr>
      </w:pPr>
      <w:r w:rsidRPr="00762EAA">
        <w:rPr>
          <w:rFonts w:ascii="Arial" w:hAnsi="Arial" w:cs="Arial"/>
          <w:b/>
          <w:bCs/>
          <w:sz w:val="24"/>
          <w:szCs w:val="24"/>
        </w:rPr>
        <w:t>DÉCIMO TERCERO.</w:t>
      </w:r>
      <w:r w:rsidRPr="00762EAA">
        <w:rPr>
          <w:rFonts w:ascii="Arial" w:hAnsi="Arial" w:cs="Arial"/>
          <w:sz w:val="24"/>
          <w:szCs w:val="24"/>
        </w:rPr>
        <w:t xml:space="preserve"> Las solicitudes de medidas cautelares y de suspensión del acto o resolución impugnados que hayan sido presentados hasta las quince horas del día antes del inicio d</w:t>
      </w:r>
      <w:r w:rsidR="00F57C30" w:rsidRPr="00762EAA">
        <w:rPr>
          <w:rFonts w:ascii="Arial" w:hAnsi="Arial" w:cs="Arial"/>
          <w:sz w:val="24"/>
          <w:szCs w:val="24"/>
        </w:rPr>
        <w:t>e cada</w:t>
      </w:r>
      <w:r w:rsidRPr="00762EAA">
        <w:rPr>
          <w:rFonts w:ascii="Arial" w:hAnsi="Arial" w:cs="Arial"/>
          <w:sz w:val="24"/>
          <w:szCs w:val="24"/>
        </w:rPr>
        <w:t xml:space="preserve"> periodo vacacional</w:t>
      </w:r>
      <w:r w:rsidR="00F57C30" w:rsidRPr="00762EAA">
        <w:rPr>
          <w:rFonts w:ascii="Arial" w:hAnsi="Arial" w:cs="Arial"/>
          <w:sz w:val="24"/>
          <w:szCs w:val="24"/>
        </w:rPr>
        <w:t xml:space="preserve">, </w:t>
      </w:r>
      <w:r w:rsidRPr="00762EAA">
        <w:rPr>
          <w:rFonts w:ascii="Arial" w:hAnsi="Arial" w:cs="Arial"/>
          <w:sz w:val="24"/>
          <w:szCs w:val="24"/>
        </w:rPr>
        <w:t xml:space="preserve">deberán ser atendidas y desahogadas por la Sala respectiva. </w:t>
      </w:r>
    </w:p>
    <w:p w14:paraId="66DDBC9B" w14:textId="77777777" w:rsidR="00F57C30" w:rsidRPr="00762EAA" w:rsidRDefault="00F57C30" w:rsidP="00F57C30">
      <w:pPr>
        <w:spacing w:after="0" w:line="360" w:lineRule="auto"/>
        <w:ind w:firstLine="709"/>
        <w:jc w:val="both"/>
        <w:rPr>
          <w:rFonts w:ascii="Arial" w:hAnsi="Arial" w:cs="Arial"/>
          <w:sz w:val="24"/>
          <w:szCs w:val="24"/>
        </w:rPr>
      </w:pPr>
    </w:p>
    <w:p w14:paraId="0E5ADFDC" w14:textId="3D655548" w:rsidR="00F57C30" w:rsidRPr="00762EAA" w:rsidRDefault="00F57C30" w:rsidP="00F57C30">
      <w:pPr>
        <w:spacing w:after="0" w:line="360" w:lineRule="auto"/>
        <w:ind w:firstLine="709"/>
        <w:jc w:val="both"/>
        <w:rPr>
          <w:rFonts w:ascii="Arial" w:hAnsi="Arial" w:cs="Arial"/>
          <w:sz w:val="24"/>
          <w:szCs w:val="24"/>
        </w:rPr>
      </w:pPr>
      <w:r w:rsidRPr="00762EAA">
        <w:rPr>
          <w:rFonts w:ascii="Arial" w:hAnsi="Arial" w:cs="Arial"/>
          <w:sz w:val="24"/>
          <w:szCs w:val="24"/>
        </w:rPr>
        <w:t xml:space="preserve">Por tanto, las promociones que se reciban a partir de las quince horas con un minuto del último día hábil, previo al inicio de cada periodo vacacional, se turnarán a la Sala que le corresponda la guardia. </w:t>
      </w:r>
    </w:p>
    <w:p w14:paraId="649F588E" w14:textId="77777777" w:rsidR="00F57C30" w:rsidRPr="00762EAA" w:rsidRDefault="00F57C30" w:rsidP="00F57C30">
      <w:pPr>
        <w:spacing w:after="0" w:line="360" w:lineRule="auto"/>
        <w:ind w:firstLine="709"/>
        <w:jc w:val="both"/>
        <w:rPr>
          <w:rFonts w:ascii="Arial" w:hAnsi="Arial" w:cs="Arial"/>
          <w:sz w:val="24"/>
          <w:szCs w:val="24"/>
        </w:rPr>
      </w:pPr>
    </w:p>
    <w:p w14:paraId="59850255" w14:textId="6BC93833" w:rsidR="00F57C30" w:rsidRPr="00762EAA" w:rsidRDefault="00F57C30" w:rsidP="00F57C30">
      <w:pPr>
        <w:spacing w:after="0" w:line="360" w:lineRule="auto"/>
        <w:ind w:firstLine="709"/>
        <w:jc w:val="both"/>
        <w:rPr>
          <w:rFonts w:ascii="Arial" w:hAnsi="Arial" w:cs="Arial"/>
          <w:sz w:val="24"/>
          <w:szCs w:val="24"/>
        </w:rPr>
      </w:pPr>
      <w:r w:rsidRPr="00762EAA">
        <w:rPr>
          <w:rFonts w:ascii="Arial" w:hAnsi="Arial" w:cs="Arial"/>
          <w:b/>
          <w:bCs/>
          <w:sz w:val="24"/>
          <w:szCs w:val="24"/>
        </w:rPr>
        <w:t>DÉCIMO CUARTO.</w:t>
      </w:r>
      <w:r w:rsidRPr="00762EAA">
        <w:rPr>
          <w:rFonts w:ascii="Arial" w:hAnsi="Arial" w:cs="Arial"/>
          <w:sz w:val="24"/>
          <w:szCs w:val="24"/>
        </w:rPr>
        <w:t xml:space="preserve"> Se determina que, para efectos de los periodos vacacionales de esta anualidad, el horario de recepción de promociones de casos urgentes será únicamente de las nueve a las quince horas.</w:t>
      </w:r>
    </w:p>
    <w:p w14:paraId="79892159" w14:textId="77777777" w:rsidR="00F57C30" w:rsidRPr="00762EAA" w:rsidRDefault="00F57C30" w:rsidP="00F57C30">
      <w:pPr>
        <w:spacing w:after="0" w:line="360" w:lineRule="auto"/>
        <w:ind w:firstLine="709"/>
        <w:jc w:val="both"/>
        <w:rPr>
          <w:rFonts w:ascii="Arial" w:hAnsi="Arial" w:cs="Arial"/>
          <w:sz w:val="24"/>
          <w:szCs w:val="24"/>
        </w:rPr>
      </w:pPr>
    </w:p>
    <w:p w14:paraId="1712F98B" w14:textId="1314A590" w:rsidR="00F57C30" w:rsidRPr="00762EAA" w:rsidRDefault="00F57C30" w:rsidP="00F57C30">
      <w:pPr>
        <w:spacing w:after="0" w:line="360" w:lineRule="auto"/>
        <w:ind w:firstLine="709"/>
        <w:jc w:val="both"/>
        <w:rPr>
          <w:rFonts w:ascii="Arial" w:hAnsi="Arial" w:cs="Arial"/>
          <w:sz w:val="24"/>
          <w:szCs w:val="24"/>
        </w:rPr>
      </w:pPr>
      <w:r w:rsidRPr="00762EAA">
        <w:rPr>
          <w:rFonts w:ascii="Arial" w:hAnsi="Arial" w:cs="Arial"/>
          <w:b/>
          <w:bCs/>
          <w:sz w:val="24"/>
          <w:szCs w:val="24"/>
        </w:rPr>
        <w:t>DÉCIMO QUINTO.</w:t>
      </w:r>
      <w:r w:rsidRPr="00762EAA">
        <w:rPr>
          <w:rFonts w:ascii="Arial" w:hAnsi="Arial" w:cs="Arial"/>
          <w:sz w:val="24"/>
          <w:szCs w:val="24"/>
        </w:rPr>
        <w:t xml:space="preserve"> Una vez que se reanuden las labores ordinarias de este órgano jurisdiccional, las Magistraturas responsables de las guardias deberán remitir los expedientes que se hayan recibido, atendido o diligenciado</w:t>
      </w:r>
      <w:r w:rsidR="00BA7D38" w:rsidRPr="00762EAA">
        <w:rPr>
          <w:rFonts w:ascii="Arial" w:hAnsi="Arial" w:cs="Arial"/>
          <w:sz w:val="24"/>
          <w:szCs w:val="24"/>
        </w:rPr>
        <w:t>,</w:t>
      </w:r>
      <w:r w:rsidRPr="00762EAA">
        <w:rPr>
          <w:rFonts w:ascii="Arial" w:hAnsi="Arial" w:cs="Arial"/>
          <w:sz w:val="24"/>
          <w:szCs w:val="24"/>
        </w:rPr>
        <w:t xml:space="preserve"> a la Sala correspondiente, a fin de que esta continúe con su sustanciación hasta su conclusión.</w:t>
      </w:r>
    </w:p>
    <w:p w14:paraId="6B90BA40" w14:textId="77777777" w:rsidR="00F57C30" w:rsidRPr="00762EAA" w:rsidRDefault="00F57C30" w:rsidP="00F57C30">
      <w:pPr>
        <w:spacing w:after="0" w:line="360" w:lineRule="auto"/>
        <w:ind w:firstLine="709"/>
        <w:jc w:val="both"/>
        <w:rPr>
          <w:rFonts w:ascii="Arial" w:hAnsi="Arial" w:cs="Arial"/>
          <w:sz w:val="24"/>
          <w:szCs w:val="24"/>
        </w:rPr>
      </w:pPr>
    </w:p>
    <w:p w14:paraId="5E07D79C" w14:textId="5F564FA8" w:rsidR="00F57C30" w:rsidRPr="00762EAA" w:rsidRDefault="00F57C30" w:rsidP="00F57C30">
      <w:pPr>
        <w:spacing w:after="0" w:line="360" w:lineRule="auto"/>
        <w:ind w:firstLine="709"/>
        <w:jc w:val="both"/>
        <w:rPr>
          <w:rFonts w:ascii="Arial" w:hAnsi="Arial" w:cs="Arial"/>
          <w:sz w:val="24"/>
          <w:szCs w:val="24"/>
        </w:rPr>
      </w:pPr>
      <w:r w:rsidRPr="00762EAA">
        <w:rPr>
          <w:rFonts w:ascii="Arial" w:hAnsi="Arial" w:cs="Arial"/>
          <w:b/>
          <w:bCs/>
          <w:sz w:val="24"/>
          <w:szCs w:val="24"/>
        </w:rPr>
        <w:t xml:space="preserve">DÉCIMO SEXTO. </w:t>
      </w:r>
      <w:r w:rsidRPr="00762EAA">
        <w:rPr>
          <w:rFonts w:ascii="Arial" w:hAnsi="Arial" w:cs="Arial"/>
          <w:sz w:val="24"/>
          <w:szCs w:val="24"/>
        </w:rPr>
        <w:t>De la misma manera, dentro de los quince días hábiles siguientes a aquél en que se reanuden las labores normales de este órgano jurisdiccional, las Magistraturas responsables de las guardias deberán rendir un informe al Pleno sobre las actividades realizadas durante tales periodos.</w:t>
      </w:r>
    </w:p>
    <w:p w14:paraId="2C9EADEE" w14:textId="77777777" w:rsidR="00F57C30" w:rsidRPr="00762EAA" w:rsidRDefault="00F57C30" w:rsidP="00F57C30">
      <w:pPr>
        <w:spacing w:after="0" w:line="360" w:lineRule="auto"/>
        <w:ind w:firstLine="709"/>
        <w:jc w:val="both"/>
        <w:rPr>
          <w:rFonts w:ascii="Arial" w:hAnsi="Arial" w:cs="Arial"/>
          <w:sz w:val="24"/>
          <w:szCs w:val="24"/>
        </w:rPr>
      </w:pPr>
    </w:p>
    <w:p w14:paraId="47301E23" w14:textId="115C2563" w:rsidR="00CE71C4" w:rsidRPr="00762EAA" w:rsidRDefault="00CE71C4" w:rsidP="00F57C30">
      <w:pPr>
        <w:spacing w:after="0" w:line="360" w:lineRule="auto"/>
        <w:ind w:firstLine="709"/>
        <w:jc w:val="both"/>
        <w:rPr>
          <w:rFonts w:ascii="Arial" w:hAnsi="Arial" w:cs="Arial"/>
          <w:sz w:val="24"/>
          <w:szCs w:val="24"/>
        </w:rPr>
      </w:pPr>
      <w:r w:rsidRPr="00762EAA">
        <w:rPr>
          <w:rFonts w:ascii="Arial" w:hAnsi="Arial" w:cs="Arial"/>
          <w:b/>
          <w:bCs/>
          <w:sz w:val="24"/>
          <w:szCs w:val="24"/>
        </w:rPr>
        <w:t>NOTIFÍQUESE</w:t>
      </w:r>
      <w:r w:rsidRPr="00762EAA">
        <w:rPr>
          <w:rFonts w:ascii="Arial" w:hAnsi="Arial" w:cs="Arial"/>
          <w:sz w:val="24"/>
          <w:szCs w:val="24"/>
        </w:rPr>
        <w:t xml:space="preserve"> </w:t>
      </w:r>
      <w:r w:rsidR="00D82188" w:rsidRPr="00762EAA">
        <w:rPr>
          <w:rFonts w:ascii="Arial" w:hAnsi="Arial" w:cs="Arial"/>
          <w:b/>
          <w:bCs/>
          <w:sz w:val="24"/>
          <w:szCs w:val="24"/>
        </w:rPr>
        <w:t>y PUBLÍQUESE</w:t>
      </w:r>
      <w:r w:rsidR="00D82188" w:rsidRPr="00762EAA">
        <w:rPr>
          <w:rFonts w:ascii="Arial" w:hAnsi="Arial" w:cs="Arial"/>
          <w:sz w:val="24"/>
          <w:szCs w:val="24"/>
        </w:rPr>
        <w:t xml:space="preserve"> </w:t>
      </w:r>
      <w:r w:rsidRPr="00762EAA">
        <w:rPr>
          <w:rFonts w:ascii="Arial" w:hAnsi="Arial" w:cs="Arial"/>
          <w:sz w:val="24"/>
          <w:szCs w:val="24"/>
        </w:rPr>
        <w:t>en la lista autorizada del Pleno</w:t>
      </w:r>
      <w:r w:rsidR="00D82188" w:rsidRPr="00762EAA">
        <w:rPr>
          <w:rFonts w:ascii="Arial" w:hAnsi="Arial" w:cs="Arial"/>
          <w:sz w:val="24"/>
          <w:szCs w:val="24"/>
        </w:rPr>
        <w:t xml:space="preserve">, visible en los estrados y en la página electrónica de este órgano jurisdiccional, así como en el </w:t>
      </w:r>
      <w:r w:rsidRPr="00762EAA">
        <w:rPr>
          <w:rFonts w:ascii="Arial" w:hAnsi="Arial" w:cs="Arial"/>
          <w:sz w:val="24"/>
          <w:szCs w:val="24"/>
        </w:rPr>
        <w:t xml:space="preserve">Periódico Oficial del Estado, para dotar de la máxima publicidad posible a esta decisión. </w:t>
      </w:r>
    </w:p>
    <w:p w14:paraId="0DFF9E93" w14:textId="77777777" w:rsidR="000B4FFA" w:rsidRPr="00762EAA" w:rsidRDefault="000B4FFA" w:rsidP="00F57C30">
      <w:pPr>
        <w:spacing w:after="0" w:line="360" w:lineRule="auto"/>
        <w:jc w:val="both"/>
        <w:rPr>
          <w:rFonts w:ascii="Arial" w:eastAsia="Times New Roman" w:hAnsi="Arial" w:cs="Arial"/>
          <w:sz w:val="24"/>
          <w:szCs w:val="24"/>
        </w:rPr>
      </w:pPr>
    </w:p>
    <w:p w14:paraId="5B8BB3C6" w14:textId="7CE6AD29" w:rsidR="00FE0920" w:rsidRPr="00762EAA" w:rsidRDefault="00FE0920" w:rsidP="00EB61A5">
      <w:pPr>
        <w:spacing w:after="0" w:line="360" w:lineRule="auto"/>
        <w:ind w:firstLine="709"/>
        <w:jc w:val="both"/>
        <w:rPr>
          <w:rFonts w:ascii="Arial" w:hAnsi="Arial" w:cs="Arial"/>
          <w:sz w:val="24"/>
          <w:szCs w:val="24"/>
        </w:rPr>
      </w:pPr>
      <w:r w:rsidRPr="00762EAA">
        <w:rPr>
          <w:rFonts w:ascii="Arial" w:eastAsia="Times New Roman" w:hAnsi="Arial" w:cs="Arial"/>
          <w:sz w:val="24"/>
          <w:szCs w:val="24"/>
        </w:rPr>
        <w:lastRenderedPageBreak/>
        <w:t xml:space="preserve">Así lo acordó, </w:t>
      </w:r>
      <w:r w:rsidRPr="00762EAA">
        <w:rPr>
          <w:rFonts w:ascii="Arial" w:eastAsia="Times New Roman" w:hAnsi="Arial" w:cs="Arial"/>
          <w:b/>
          <w:bCs/>
          <w:sz w:val="24"/>
          <w:szCs w:val="24"/>
        </w:rPr>
        <w:t>por unanimidad</w:t>
      </w:r>
      <w:r w:rsidRPr="00762EAA">
        <w:rPr>
          <w:rFonts w:ascii="Arial" w:eastAsia="Times New Roman" w:hAnsi="Arial" w:cs="Arial"/>
          <w:sz w:val="24"/>
          <w:szCs w:val="24"/>
        </w:rPr>
        <w:t>, el Pleno del Tribunal Estatal de Justicia Administrativa</w:t>
      </w:r>
      <w:r w:rsidR="00EB61A5">
        <w:rPr>
          <w:rFonts w:ascii="Arial" w:eastAsia="Times New Roman" w:hAnsi="Arial" w:cs="Arial"/>
          <w:sz w:val="24"/>
          <w:szCs w:val="24"/>
        </w:rPr>
        <w:t xml:space="preserve">, en sesión de veintitrés de enero de dos mil veinticinco. </w:t>
      </w:r>
      <w:r w:rsidR="00EB61A5">
        <w:rPr>
          <w:rFonts w:ascii="Arial" w:eastAsia="Arial" w:hAnsi="Arial" w:cs="Arial"/>
          <w:sz w:val="24"/>
          <w:szCs w:val="24"/>
        </w:rPr>
        <w:t>Por lo que f</w:t>
      </w:r>
      <w:r w:rsidRPr="00762EAA">
        <w:rPr>
          <w:rFonts w:ascii="Arial" w:eastAsia="Arial" w:hAnsi="Arial" w:cs="Arial"/>
          <w:sz w:val="24"/>
          <w:szCs w:val="24"/>
        </w:rPr>
        <w:t>irman</w:t>
      </w:r>
      <w:r w:rsidRPr="00762EAA">
        <w:rPr>
          <w:rFonts w:ascii="Arial" w:hAnsi="Arial" w:cs="Arial"/>
          <w:sz w:val="24"/>
          <w:szCs w:val="24"/>
        </w:rPr>
        <w:t xml:space="preserve"> las personas titulares de las Magistraturas</w:t>
      </w:r>
      <w:r w:rsidRPr="00762EAA">
        <w:rPr>
          <w:rFonts w:ascii="Arial" w:hAnsi="Arial" w:cs="Arial"/>
          <w:b/>
          <w:bCs/>
          <w:sz w:val="24"/>
          <w:szCs w:val="24"/>
        </w:rPr>
        <w:t xml:space="preserve"> Gregorio Daniel Morales Luévano,</w:t>
      </w:r>
      <w:r w:rsidRPr="00762EAA">
        <w:rPr>
          <w:rFonts w:ascii="Arial" w:hAnsi="Arial" w:cs="Arial"/>
          <w:sz w:val="24"/>
          <w:szCs w:val="24"/>
        </w:rPr>
        <w:t xml:space="preserve"> Magistrado de la Segunda Sala Unitaria Administrativa;</w:t>
      </w:r>
      <w:r w:rsidRPr="00762EAA">
        <w:rPr>
          <w:rFonts w:ascii="Arial" w:hAnsi="Arial" w:cs="Arial"/>
          <w:b/>
          <w:bCs/>
          <w:sz w:val="24"/>
          <w:szCs w:val="24"/>
        </w:rPr>
        <w:t xml:space="preserve"> Luis Eduardo Naranjo Espinoza, </w:t>
      </w:r>
      <w:r w:rsidRPr="00762EAA">
        <w:rPr>
          <w:rFonts w:ascii="Arial" w:hAnsi="Arial" w:cs="Arial"/>
          <w:sz w:val="24"/>
          <w:szCs w:val="24"/>
        </w:rPr>
        <w:t xml:space="preserve">Magistrado de la Cuarta Sala Unitaria Especializada en Materia de Responsabilidades Administrativas; </w:t>
      </w:r>
      <w:r w:rsidRPr="00762EAA">
        <w:rPr>
          <w:rFonts w:ascii="Arial" w:hAnsi="Arial" w:cs="Arial"/>
          <w:b/>
          <w:bCs/>
          <w:sz w:val="24"/>
          <w:szCs w:val="24"/>
        </w:rPr>
        <w:t xml:space="preserve">Priscila Soto Jiménez, </w:t>
      </w:r>
      <w:r w:rsidRPr="00762EAA">
        <w:rPr>
          <w:rFonts w:ascii="Arial" w:hAnsi="Arial" w:cs="Arial"/>
          <w:sz w:val="24"/>
          <w:szCs w:val="24"/>
        </w:rPr>
        <w:t xml:space="preserve">Magistrada de la Quinta Sala Unitaria Especializada en Materia de Responsabilidades Administrativas </w:t>
      </w:r>
      <w:r w:rsidRPr="00762EAA">
        <w:rPr>
          <w:rFonts w:ascii="Arial" w:hAnsi="Arial" w:cs="Arial"/>
          <w:b/>
          <w:bCs/>
          <w:sz w:val="24"/>
          <w:szCs w:val="24"/>
        </w:rPr>
        <w:t xml:space="preserve">y Alejandro Tavares Calderón, </w:t>
      </w:r>
      <w:r w:rsidRPr="00762EAA">
        <w:rPr>
          <w:rFonts w:ascii="Arial" w:hAnsi="Arial" w:cs="Arial"/>
          <w:sz w:val="24"/>
          <w:szCs w:val="24"/>
        </w:rPr>
        <w:t xml:space="preserve">Magistrado de la Tercera Sala Unitaria Administrativa y Presidente, ante </w:t>
      </w:r>
      <w:r w:rsidRPr="00762EAA">
        <w:rPr>
          <w:rFonts w:ascii="Arial" w:hAnsi="Arial" w:cs="Arial"/>
          <w:b/>
          <w:bCs/>
          <w:sz w:val="24"/>
          <w:szCs w:val="24"/>
        </w:rPr>
        <w:t>Saúl Eduardo Rodríguez Camacho</w:t>
      </w:r>
      <w:r w:rsidRPr="00762EAA">
        <w:rPr>
          <w:rFonts w:ascii="Arial" w:hAnsi="Arial" w:cs="Arial"/>
          <w:sz w:val="24"/>
          <w:szCs w:val="24"/>
        </w:rPr>
        <w:t>, Secretario General, quien autoriza y da fe.</w:t>
      </w:r>
    </w:p>
    <w:p w14:paraId="06B0FFD8" w14:textId="77777777" w:rsidR="00FE0920" w:rsidRPr="00762EAA" w:rsidRDefault="00FE0920" w:rsidP="00FE0920">
      <w:pPr>
        <w:spacing w:after="0" w:line="240" w:lineRule="auto"/>
        <w:jc w:val="both"/>
        <w:rPr>
          <w:rFonts w:ascii="Arial" w:hAnsi="Arial" w:cs="Arial"/>
          <w:sz w:val="24"/>
          <w:szCs w:val="24"/>
        </w:rPr>
      </w:pPr>
    </w:p>
    <w:p w14:paraId="58C49FEC" w14:textId="77777777" w:rsidR="00FE0920" w:rsidRPr="00762EAA" w:rsidRDefault="00FE0920" w:rsidP="00FE0920">
      <w:pPr>
        <w:spacing w:after="0" w:line="240" w:lineRule="auto"/>
        <w:jc w:val="both"/>
        <w:rPr>
          <w:rFonts w:ascii="Arial" w:hAnsi="Arial" w:cs="Arial"/>
          <w:sz w:val="24"/>
          <w:szCs w:val="24"/>
        </w:rPr>
      </w:pPr>
    </w:p>
    <w:p w14:paraId="0A38043E" w14:textId="77777777" w:rsidR="00FE0920" w:rsidRPr="00762EAA" w:rsidRDefault="00FE0920" w:rsidP="00FE0920">
      <w:pPr>
        <w:spacing w:after="0" w:line="240" w:lineRule="auto"/>
        <w:jc w:val="both"/>
        <w:rPr>
          <w:rFonts w:ascii="Arial" w:hAnsi="Arial" w:cs="Arial"/>
          <w:sz w:val="24"/>
          <w:szCs w:val="24"/>
        </w:rPr>
      </w:pPr>
    </w:p>
    <w:p w14:paraId="4562DCDD" w14:textId="77777777" w:rsidR="00D82188" w:rsidRPr="00762EAA" w:rsidRDefault="00D82188" w:rsidP="00FE0920">
      <w:pPr>
        <w:spacing w:after="0" w:line="240" w:lineRule="auto"/>
        <w:jc w:val="both"/>
        <w:rPr>
          <w:rFonts w:ascii="Arial" w:hAnsi="Arial" w:cs="Arial"/>
          <w:sz w:val="24"/>
          <w:szCs w:val="24"/>
        </w:rPr>
      </w:pPr>
    </w:p>
    <w:p w14:paraId="22077A65" w14:textId="77777777" w:rsidR="00FE0920" w:rsidRPr="00762EAA" w:rsidRDefault="00FE0920" w:rsidP="00FE0920">
      <w:pPr>
        <w:spacing w:after="0" w:line="240" w:lineRule="auto"/>
        <w:jc w:val="both"/>
        <w:rPr>
          <w:rFonts w:ascii="Arial" w:hAnsi="Arial" w:cs="Arial"/>
          <w:sz w:val="24"/>
          <w:szCs w:val="24"/>
        </w:rPr>
      </w:pPr>
    </w:p>
    <w:p w14:paraId="13EF2D31" w14:textId="77777777" w:rsidR="00FE0920" w:rsidRPr="00762EAA" w:rsidRDefault="00FE0920" w:rsidP="00FE0920">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FE0920" w:rsidRPr="00762EAA" w14:paraId="1E413B8C" w14:textId="77777777" w:rsidTr="001F20DD">
        <w:tc>
          <w:tcPr>
            <w:tcW w:w="4678" w:type="dxa"/>
          </w:tcPr>
          <w:p w14:paraId="59A562A0" w14:textId="7F38547E" w:rsidR="00FE0920" w:rsidRPr="00762EAA" w:rsidRDefault="000B4FFA" w:rsidP="001F20DD">
            <w:pPr>
              <w:jc w:val="center"/>
              <w:rPr>
                <w:rFonts w:ascii="Arial" w:hAnsi="Arial" w:cs="Arial"/>
                <w:b/>
                <w:bCs/>
                <w:sz w:val="24"/>
                <w:szCs w:val="24"/>
              </w:rPr>
            </w:pPr>
            <w:r w:rsidRPr="00762EAA">
              <w:rPr>
                <w:rFonts w:ascii="Arial" w:hAnsi="Arial" w:cs="Arial"/>
                <w:b/>
                <w:bCs/>
                <w:sz w:val="24"/>
                <w:szCs w:val="24"/>
              </w:rPr>
              <w:t>Gregorio Daniel Morales Luévano</w:t>
            </w:r>
          </w:p>
          <w:p w14:paraId="38C58C50" w14:textId="1FF7A001" w:rsidR="00FE0920" w:rsidRPr="00762EAA" w:rsidRDefault="000B4FFA" w:rsidP="001F20DD">
            <w:pPr>
              <w:tabs>
                <w:tab w:val="left" w:pos="5529"/>
              </w:tabs>
              <w:jc w:val="center"/>
              <w:rPr>
                <w:rFonts w:ascii="Arial" w:hAnsi="Arial" w:cs="Arial"/>
                <w:sz w:val="24"/>
                <w:szCs w:val="24"/>
              </w:rPr>
            </w:pPr>
            <w:r w:rsidRPr="00762EAA">
              <w:rPr>
                <w:rFonts w:ascii="Arial" w:eastAsia="Arial" w:hAnsi="Arial" w:cs="Arial"/>
                <w:sz w:val="24"/>
                <w:szCs w:val="24"/>
              </w:rPr>
              <w:t>Magistrado</w:t>
            </w:r>
          </w:p>
        </w:tc>
        <w:tc>
          <w:tcPr>
            <w:tcW w:w="4536" w:type="dxa"/>
          </w:tcPr>
          <w:p w14:paraId="0DA49A07" w14:textId="2F0E7364" w:rsidR="00FE0920" w:rsidRPr="00762EAA" w:rsidRDefault="000B4FFA" w:rsidP="001F20DD">
            <w:pPr>
              <w:jc w:val="center"/>
              <w:rPr>
                <w:rFonts w:ascii="Arial" w:hAnsi="Arial" w:cs="Arial"/>
                <w:b/>
                <w:bCs/>
                <w:sz w:val="24"/>
                <w:szCs w:val="24"/>
              </w:rPr>
            </w:pPr>
            <w:r w:rsidRPr="00762EAA">
              <w:rPr>
                <w:rFonts w:ascii="Arial" w:hAnsi="Arial" w:cs="Arial"/>
                <w:b/>
                <w:bCs/>
                <w:sz w:val="24"/>
                <w:szCs w:val="24"/>
              </w:rPr>
              <w:t>Luis Eduardo Naranjo Espinoza</w:t>
            </w:r>
          </w:p>
          <w:p w14:paraId="7EB5C486" w14:textId="23D6850B" w:rsidR="00FE0920" w:rsidRPr="00762EAA" w:rsidRDefault="000B4FFA" w:rsidP="001F20DD">
            <w:pPr>
              <w:jc w:val="center"/>
              <w:rPr>
                <w:rFonts w:ascii="Arial" w:hAnsi="Arial" w:cs="Arial"/>
                <w:sz w:val="24"/>
                <w:szCs w:val="24"/>
              </w:rPr>
            </w:pPr>
            <w:r w:rsidRPr="00762EAA">
              <w:rPr>
                <w:rFonts w:ascii="Arial" w:hAnsi="Arial" w:cs="Arial"/>
                <w:sz w:val="24"/>
                <w:szCs w:val="24"/>
              </w:rPr>
              <w:t>Magistrado</w:t>
            </w:r>
          </w:p>
        </w:tc>
      </w:tr>
    </w:tbl>
    <w:p w14:paraId="47962EDE" w14:textId="77777777" w:rsidR="00FE0920" w:rsidRPr="00762EAA" w:rsidRDefault="00FE0920" w:rsidP="00FE0920">
      <w:pPr>
        <w:spacing w:after="0" w:line="240" w:lineRule="auto"/>
        <w:jc w:val="both"/>
        <w:rPr>
          <w:rFonts w:ascii="Arial" w:hAnsi="Arial" w:cs="Arial"/>
          <w:sz w:val="24"/>
          <w:szCs w:val="24"/>
        </w:rPr>
      </w:pPr>
    </w:p>
    <w:p w14:paraId="3BE0DDD0" w14:textId="77777777" w:rsidR="00FE0920" w:rsidRPr="00762EAA" w:rsidRDefault="00FE0920" w:rsidP="00FE0920">
      <w:pPr>
        <w:spacing w:after="0" w:line="240" w:lineRule="auto"/>
        <w:jc w:val="both"/>
        <w:rPr>
          <w:rFonts w:ascii="Arial" w:hAnsi="Arial" w:cs="Arial"/>
          <w:sz w:val="24"/>
          <w:szCs w:val="24"/>
        </w:rPr>
      </w:pPr>
    </w:p>
    <w:p w14:paraId="6C74B840" w14:textId="77777777" w:rsidR="00FE0920" w:rsidRPr="00762EAA" w:rsidRDefault="00FE0920" w:rsidP="00FE0920">
      <w:pPr>
        <w:spacing w:after="0" w:line="240" w:lineRule="auto"/>
        <w:jc w:val="both"/>
        <w:rPr>
          <w:rFonts w:ascii="Arial" w:hAnsi="Arial" w:cs="Arial"/>
          <w:sz w:val="24"/>
          <w:szCs w:val="24"/>
        </w:rPr>
      </w:pPr>
    </w:p>
    <w:p w14:paraId="66498C32" w14:textId="77777777" w:rsidR="00D82188" w:rsidRPr="00762EAA" w:rsidRDefault="00D82188" w:rsidP="00FE0920">
      <w:pPr>
        <w:spacing w:after="0" w:line="240" w:lineRule="auto"/>
        <w:jc w:val="both"/>
        <w:rPr>
          <w:rFonts w:ascii="Arial" w:hAnsi="Arial" w:cs="Arial"/>
          <w:sz w:val="24"/>
          <w:szCs w:val="24"/>
        </w:rPr>
      </w:pPr>
    </w:p>
    <w:p w14:paraId="2527137B" w14:textId="77777777" w:rsidR="00FE0920" w:rsidRPr="00762EAA" w:rsidRDefault="00FE0920" w:rsidP="00FE0920">
      <w:pPr>
        <w:spacing w:after="0" w:line="240" w:lineRule="auto"/>
        <w:jc w:val="both"/>
        <w:rPr>
          <w:rFonts w:ascii="Arial" w:hAnsi="Arial" w:cs="Arial"/>
          <w:sz w:val="24"/>
          <w:szCs w:val="24"/>
        </w:rPr>
      </w:pPr>
    </w:p>
    <w:p w14:paraId="19A22F78" w14:textId="77777777" w:rsidR="00FE0920" w:rsidRPr="00762EAA" w:rsidRDefault="00FE0920" w:rsidP="00FE0920">
      <w:pPr>
        <w:spacing w:after="0" w:line="240" w:lineRule="auto"/>
        <w:jc w:val="both"/>
        <w:rPr>
          <w:rFonts w:ascii="Arial" w:hAnsi="Arial" w:cs="Arial"/>
          <w:sz w:val="24"/>
          <w:szCs w:val="24"/>
        </w:rPr>
      </w:pPr>
    </w:p>
    <w:p w14:paraId="7E03D433" w14:textId="77777777" w:rsidR="00FE0920" w:rsidRPr="00762EAA" w:rsidRDefault="00FE0920" w:rsidP="00FE0920">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FE0920" w:rsidRPr="00762EAA" w14:paraId="228C60CA" w14:textId="77777777" w:rsidTr="001F20DD">
        <w:tc>
          <w:tcPr>
            <w:tcW w:w="4678" w:type="dxa"/>
          </w:tcPr>
          <w:p w14:paraId="73F09EE9" w14:textId="7AC79F73" w:rsidR="00FE0920" w:rsidRPr="00762EAA" w:rsidRDefault="000B4FFA" w:rsidP="001F20DD">
            <w:pPr>
              <w:jc w:val="center"/>
              <w:rPr>
                <w:rFonts w:ascii="Arial" w:hAnsi="Arial" w:cs="Arial"/>
                <w:b/>
                <w:bCs/>
                <w:sz w:val="24"/>
                <w:szCs w:val="24"/>
              </w:rPr>
            </w:pPr>
            <w:r w:rsidRPr="00762EAA">
              <w:rPr>
                <w:rFonts w:ascii="Arial" w:hAnsi="Arial" w:cs="Arial"/>
                <w:b/>
                <w:bCs/>
                <w:sz w:val="24"/>
                <w:szCs w:val="24"/>
              </w:rPr>
              <w:t>Priscila Soto Jiménez</w:t>
            </w:r>
          </w:p>
          <w:p w14:paraId="710D508B" w14:textId="2B6C5D55" w:rsidR="00FE0920" w:rsidRPr="00762EAA" w:rsidRDefault="000B4FFA" w:rsidP="001F20DD">
            <w:pPr>
              <w:jc w:val="center"/>
              <w:rPr>
                <w:rFonts w:ascii="Arial" w:hAnsi="Arial" w:cs="Arial"/>
                <w:sz w:val="24"/>
                <w:szCs w:val="24"/>
              </w:rPr>
            </w:pPr>
            <w:r w:rsidRPr="00762EAA">
              <w:rPr>
                <w:rFonts w:ascii="Arial" w:hAnsi="Arial" w:cs="Arial"/>
                <w:sz w:val="24"/>
                <w:szCs w:val="24"/>
              </w:rPr>
              <w:t>Magistrada</w:t>
            </w:r>
          </w:p>
        </w:tc>
        <w:tc>
          <w:tcPr>
            <w:tcW w:w="4536" w:type="dxa"/>
          </w:tcPr>
          <w:p w14:paraId="26D7E719" w14:textId="100C0322" w:rsidR="00FE0920" w:rsidRPr="00762EAA" w:rsidRDefault="000B4FFA" w:rsidP="001F20DD">
            <w:pPr>
              <w:jc w:val="center"/>
              <w:rPr>
                <w:rFonts w:ascii="Arial" w:hAnsi="Arial" w:cs="Arial"/>
                <w:b/>
                <w:bCs/>
                <w:sz w:val="24"/>
                <w:szCs w:val="24"/>
              </w:rPr>
            </w:pPr>
            <w:r w:rsidRPr="00762EAA">
              <w:rPr>
                <w:rFonts w:ascii="Arial" w:hAnsi="Arial" w:cs="Arial"/>
                <w:b/>
                <w:bCs/>
                <w:sz w:val="24"/>
                <w:szCs w:val="24"/>
              </w:rPr>
              <w:t>Alejandro Tavares Calderón</w:t>
            </w:r>
          </w:p>
          <w:p w14:paraId="43C974A3" w14:textId="389048E2" w:rsidR="00FE0920" w:rsidRPr="00762EAA" w:rsidRDefault="000B4FFA" w:rsidP="001F20DD">
            <w:pPr>
              <w:jc w:val="center"/>
              <w:rPr>
                <w:rFonts w:ascii="Arial" w:hAnsi="Arial" w:cs="Arial"/>
                <w:sz w:val="24"/>
                <w:szCs w:val="24"/>
              </w:rPr>
            </w:pPr>
            <w:r w:rsidRPr="00762EAA">
              <w:rPr>
                <w:rFonts w:ascii="Arial" w:hAnsi="Arial" w:cs="Arial"/>
                <w:sz w:val="24"/>
                <w:szCs w:val="24"/>
              </w:rPr>
              <w:t>Magistrado</w:t>
            </w:r>
          </w:p>
        </w:tc>
      </w:tr>
    </w:tbl>
    <w:p w14:paraId="7E69FB79" w14:textId="77777777" w:rsidR="00FE0920" w:rsidRPr="00762EAA" w:rsidRDefault="00FE0920" w:rsidP="00FE0920">
      <w:pPr>
        <w:spacing w:after="0" w:line="240" w:lineRule="auto"/>
        <w:jc w:val="both"/>
        <w:rPr>
          <w:rFonts w:ascii="Arial" w:eastAsia="Tahoma" w:hAnsi="Arial" w:cs="Arial"/>
          <w:sz w:val="24"/>
          <w:szCs w:val="24"/>
        </w:rPr>
      </w:pPr>
    </w:p>
    <w:p w14:paraId="42E145D8" w14:textId="77777777" w:rsidR="00FE0920" w:rsidRPr="00762EAA" w:rsidRDefault="00FE0920" w:rsidP="00FE0920">
      <w:pPr>
        <w:tabs>
          <w:tab w:val="left" w:pos="4950"/>
        </w:tabs>
        <w:spacing w:after="0" w:line="240" w:lineRule="auto"/>
        <w:jc w:val="both"/>
        <w:rPr>
          <w:rFonts w:ascii="Arial" w:eastAsia="Tahoma" w:hAnsi="Arial" w:cs="Arial"/>
          <w:sz w:val="24"/>
          <w:szCs w:val="24"/>
        </w:rPr>
      </w:pPr>
    </w:p>
    <w:p w14:paraId="128DCC28" w14:textId="5E7D8B20" w:rsidR="000B4FFA" w:rsidRPr="00762EAA" w:rsidRDefault="000B4FFA" w:rsidP="00FE0920">
      <w:pPr>
        <w:spacing w:after="0" w:line="240" w:lineRule="auto"/>
        <w:rPr>
          <w:rFonts w:ascii="Arial" w:eastAsia="Tahoma" w:hAnsi="Arial" w:cs="Arial"/>
          <w:b/>
          <w:bCs/>
          <w:sz w:val="24"/>
          <w:szCs w:val="24"/>
        </w:rPr>
      </w:pPr>
      <w:r w:rsidRPr="00762EAA">
        <w:rPr>
          <w:rFonts w:ascii="Arial" w:eastAsia="Tahoma" w:hAnsi="Arial" w:cs="Arial"/>
          <w:b/>
          <w:bCs/>
          <w:sz w:val="24"/>
          <w:szCs w:val="24"/>
        </w:rPr>
        <w:t xml:space="preserve">      </w:t>
      </w:r>
    </w:p>
    <w:p w14:paraId="088A45CB" w14:textId="77777777" w:rsidR="00D82188" w:rsidRPr="00762EAA" w:rsidRDefault="00D82188" w:rsidP="00FE0920">
      <w:pPr>
        <w:spacing w:after="0" w:line="240" w:lineRule="auto"/>
        <w:rPr>
          <w:rFonts w:ascii="Arial" w:eastAsia="Tahoma" w:hAnsi="Arial" w:cs="Arial"/>
          <w:b/>
          <w:bCs/>
          <w:sz w:val="24"/>
          <w:szCs w:val="24"/>
        </w:rPr>
      </w:pPr>
    </w:p>
    <w:p w14:paraId="048E2A14" w14:textId="77777777" w:rsidR="00FE0920" w:rsidRPr="00762EAA" w:rsidRDefault="00FE0920" w:rsidP="00FE0920">
      <w:pPr>
        <w:spacing w:after="0" w:line="240" w:lineRule="auto"/>
        <w:jc w:val="center"/>
        <w:rPr>
          <w:rFonts w:ascii="Arial" w:eastAsia="Tahoma" w:hAnsi="Arial" w:cs="Arial"/>
          <w:b/>
          <w:bCs/>
          <w:sz w:val="24"/>
          <w:szCs w:val="24"/>
        </w:rPr>
      </w:pPr>
    </w:p>
    <w:p w14:paraId="5CF0FB99" w14:textId="77777777" w:rsidR="00FE0920" w:rsidRPr="00762EAA" w:rsidRDefault="00FE0920" w:rsidP="00FE0920">
      <w:pPr>
        <w:spacing w:after="0" w:line="240" w:lineRule="auto"/>
        <w:rPr>
          <w:rFonts w:ascii="Arial" w:eastAsia="Tahoma" w:hAnsi="Arial" w:cs="Arial"/>
          <w:b/>
          <w:bCs/>
          <w:sz w:val="24"/>
          <w:szCs w:val="24"/>
        </w:rPr>
      </w:pPr>
    </w:p>
    <w:p w14:paraId="23F0F2DD" w14:textId="37E0FC4E" w:rsidR="00FE0920" w:rsidRPr="00762EAA" w:rsidRDefault="000B4FFA" w:rsidP="00FE0920">
      <w:pPr>
        <w:spacing w:after="0" w:line="240" w:lineRule="auto"/>
        <w:ind w:left="708"/>
        <w:jc w:val="center"/>
        <w:rPr>
          <w:rFonts w:ascii="Arial" w:eastAsia="Tahoma" w:hAnsi="Arial" w:cs="Arial"/>
          <w:b/>
          <w:bCs/>
          <w:sz w:val="24"/>
          <w:szCs w:val="24"/>
        </w:rPr>
      </w:pPr>
      <w:r w:rsidRPr="00762EAA">
        <w:rPr>
          <w:rFonts w:ascii="Arial" w:eastAsia="Tahoma" w:hAnsi="Arial" w:cs="Arial"/>
          <w:b/>
          <w:bCs/>
          <w:sz w:val="24"/>
          <w:szCs w:val="24"/>
        </w:rPr>
        <w:t>Saúl Eduardo Rodríguez Camacho</w:t>
      </w:r>
    </w:p>
    <w:p w14:paraId="6DA1D502" w14:textId="34F17F04" w:rsidR="00FE0920" w:rsidRPr="00762EAA" w:rsidRDefault="000B4FFA" w:rsidP="00FE0920">
      <w:pPr>
        <w:spacing w:after="0" w:line="240" w:lineRule="auto"/>
        <w:jc w:val="center"/>
        <w:rPr>
          <w:rFonts w:ascii="Arial" w:eastAsia="Tahoma" w:hAnsi="Arial" w:cs="Arial"/>
          <w:sz w:val="24"/>
          <w:szCs w:val="24"/>
        </w:rPr>
      </w:pPr>
      <w:r w:rsidRPr="00762EAA">
        <w:rPr>
          <w:rFonts w:ascii="Arial" w:eastAsia="Tahoma" w:hAnsi="Arial" w:cs="Arial"/>
          <w:sz w:val="24"/>
          <w:szCs w:val="24"/>
        </w:rPr>
        <w:t xml:space="preserve">       Secretario General</w:t>
      </w:r>
      <w:r w:rsidRPr="00762EAA">
        <w:rPr>
          <w:rStyle w:val="Refdenotaalpie"/>
          <w:rFonts w:ascii="Arial" w:eastAsia="Tahoma" w:hAnsi="Arial" w:cs="Arial"/>
          <w:sz w:val="24"/>
          <w:szCs w:val="24"/>
        </w:rPr>
        <w:footnoteReference w:id="4"/>
      </w:r>
    </w:p>
    <w:p w14:paraId="7475ADED" w14:textId="77777777" w:rsidR="00FE0920" w:rsidRPr="00762EAA" w:rsidRDefault="00FE0920" w:rsidP="00FE0920">
      <w:pPr>
        <w:rPr>
          <w:rFonts w:ascii="Arial" w:eastAsia="Tahoma" w:hAnsi="Arial" w:cs="Arial"/>
          <w:i/>
          <w:iCs/>
          <w:sz w:val="24"/>
          <w:szCs w:val="24"/>
        </w:rPr>
      </w:pPr>
    </w:p>
    <w:p w14:paraId="1237B2B1" w14:textId="77777777" w:rsidR="00FE0920" w:rsidRPr="00762EAA" w:rsidRDefault="00FE0920" w:rsidP="00FE0920">
      <w:pPr>
        <w:spacing w:after="0"/>
        <w:jc w:val="both"/>
        <w:rPr>
          <w:rFonts w:ascii="Arial" w:hAnsi="Arial" w:cs="Arial"/>
          <w:i/>
          <w:iCs/>
          <w:color w:val="000000"/>
          <w:sz w:val="24"/>
          <w:szCs w:val="24"/>
          <w:shd w:val="clear" w:color="auto" w:fill="FFFFFF"/>
        </w:rPr>
      </w:pPr>
      <w:r w:rsidRPr="00762EAA">
        <w:rPr>
          <w:rFonts w:ascii="Arial" w:hAnsi="Arial" w:cs="Arial"/>
          <w:i/>
          <w:iCs/>
          <w:color w:val="000000"/>
          <w:sz w:val="24"/>
          <w:szCs w:val="24"/>
          <w:shd w:val="clear" w:color="auto" w:fill="FFFFFF"/>
        </w:rPr>
        <w:t>MJT</w:t>
      </w:r>
    </w:p>
    <w:p w14:paraId="7901401C" w14:textId="77777777" w:rsidR="000D3BBB" w:rsidRPr="00762EAA" w:rsidRDefault="000D3BBB" w:rsidP="00FE0920">
      <w:pPr>
        <w:jc w:val="both"/>
        <w:rPr>
          <w:rFonts w:ascii="Arial" w:hAnsi="Arial" w:cs="Arial"/>
          <w:color w:val="000000"/>
          <w:sz w:val="24"/>
          <w:szCs w:val="24"/>
          <w:shd w:val="clear" w:color="auto" w:fill="FFFFFF"/>
        </w:rPr>
      </w:pPr>
    </w:p>
    <w:p w14:paraId="771ED5A5" w14:textId="2C6B2D78" w:rsidR="00BA7D38" w:rsidRPr="00762EAA" w:rsidRDefault="00BA7D38" w:rsidP="00BA7D38">
      <w:pPr>
        <w:spacing w:after="0" w:line="240" w:lineRule="auto"/>
        <w:jc w:val="both"/>
        <w:rPr>
          <w:rFonts w:ascii="Arial" w:eastAsia="Tahoma" w:hAnsi="Arial" w:cs="Arial"/>
          <w:sz w:val="24"/>
          <w:szCs w:val="24"/>
          <w:lang w:val="es-ES"/>
        </w:rPr>
      </w:pPr>
      <w:r w:rsidRPr="00762EAA">
        <w:rPr>
          <w:rFonts w:ascii="Arial" w:eastAsia="Tahoma" w:hAnsi="Arial" w:cs="Arial"/>
          <w:b/>
          <w:bCs/>
          <w:sz w:val="24"/>
          <w:szCs w:val="24"/>
          <w:lang w:val="es-ES"/>
        </w:rPr>
        <w:t>CONSTANCIA.</w:t>
      </w:r>
      <w:r w:rsidRPr="00762EAA">
        <w:rPr>
          <w:rFonts w:ascii="Arial" w:eastAsia="Tahoma" w:hAnsi="Arial" w:cs="Arial"/>
          <w:sz w:val="24"/>
          <w:szCs w:val="24"/>
          <w:lang w:val="es-ES"/>
        </w:rPr>
        <w:t xml:space="preserve"> Con fundamento en el artículo 13 bis B, fracciones I, III, y XI de la Ley Orgánica de este Tribunal Estatal. DOY FE, que el _______ de _______________ </w:t>
      </w:r>
      <w:proofErr w:type="spellStart"/>
      <w:r w:rsidRPr="00762EAA">
        <w:rPr>
          <w:rFonts w:ascii="Arial" w:eastAsia="Tahoma" w:hAnsi="Arial" w:cs="Arial"/>
          <w:sz w:val="24"/>
          <w:szCs w:val="24"/>
          <w:lang w:val="es-ES"/>
        </w:rPr>
        <w:t>de</w:t>
      </w:r>
      <w:proofErr w:type="spellEnd"/>
      <w:r w:rsidRPr="00762EAA">
        <w:rPr>
          <w:rFonts w:ascii="Arial" w:eastAsia="Tahoma" w:hAnsi="Arial" w:cs="Arial"/>
          <w:sz w:val="24"/>
          <w:szCs w:val="24"/>
          <w:lang w:val="es-ES"/>
        </w:rPr>
        <w:t xml:space="preserve"> dos mil veinticinco, se fijó y publicó en los estrados de este Tribunal Estatal de Justicia Administrativa. Saúl Eduardo Rodríguez Camacho, secretario general.</w:t>
      </w:r>
    </w:p>
    <w:p w14:paraId="49B9E9FD" w14:textId="77777777" w:rsidR="00FE0920" w:rsidRPr="00762EAA" w:rsidRDefault="00FE0920" w:rsidP="00FE0920">
      <w:pPr>
        <w:spacing w:after="0"/>
        <w:rPr>
          <w:rFonts w:ascii="Arial" w:eastAsia="Tahoma" w:hAnsi="Arial" w:cs="Arial"/>
          <w:b/>
          <w:bCs/>
          <w:sz w:val="24"/>
          <w:szCs w:val="24"/>
        </w:rPr>
      </w:pPr>
    </w:p>
    <w:p w14:paraId="7C525EA1" w14:textId="77777777" w:rsidR="00FE0920" w:rsidRPr="00762EAA" w:rsidRDefault="00FE0920" w:rsidP="00FE0920">
      <w:pPr>
        <w:pStyle w:val="Style2"/>
        <w:kinsoku w:val="0"/>
        <w:autoSpaceDE/>
        <w:autoSpaceDN/>
        <w:spacing w:before="0" w:line="360" w:lineRule="auto"/>
        <w:ind w:firstLine="709"/>
        <w:rPr>
          <w:rStyle w:val="CharacterStyle1"/>
          <w:sz w:val="24"/>
          <w:szCs w:val="24"/>
          <w:lang w:val="es-MX"/>
        </w:rPr>
      </w:pPr>
    </w:p>
    <w:p w14:paraId="7F0550E1" w14:textId="77777777" w:rsidR="00FE0920" w:rsidRPr="00762EAA" w:rsidRDefault="00FE0920" w:rsidP="00FE0920">
      <w:pPr>
        <w:pBdr>
          <w:top w:val="nil"/>
          <w:left w:val="nil"/>
          <w:bottom w:val="nil"/>
          <w:right w:val="nil"/>
          <w:between w:val="nil"/>
        </w:pBdr>
        <w:spacing w:after="0" w:line="360" w:lineRule="auto"/>
        <w:ind w:firstLine="709"/>
        <w:jc w:val="both"/>
        <w:rPr>
          <w:rFonts w:ascii="Arial" w:eastAsia="Tahoma" w:hAnsi="Arial" w:cs="Arial"/>
          <w:sz w:val="24"/>
          <w:szCs w:val="24"/>
        </w:rPr>
      </w:pPr>
    </w:p>
    <w:p w14:paraId="09FCB476" w14:textId="77777777" w:rsidR="00FE0920" w:rsidRPr="00762EAA" w:rsidRDefault="00FE0920" w:rsidP="00FE0920">
      <w:pPr>
        <w:spacing w:after="0" w:line="360" w:lineRule="auto"/>
        <w:ind w:firstLine="709"/>
        <w:jc w:val="both"/>
        <w:rPr>
          <w:rFonts w:ascii="Arial" w:hAnsi="Arial" w:cs="Arial"/>
          <w:bCs/>
          <w:snapToGrid w:val="0"/>
          <w:sz w:val="24"/>
          <w:szCs w:val="24"/>
        </w:rPr>
      </w:pPr>
    </w:p>
    <w:p w14:paraId="3EA3DBEC" w14:textId="77777777" w:rsidR="00FE0920" w:rsidRPr="00762EAA" w:rsidRDefault="00FE0920" w:rsidP="00FE0920">
      <w:pPr>
        <w:pStyle w:val="Style2"/>
        <w:kinsoku w:val="0"/>
        <w:autoSpaceDE/>
        <w:autoSpaceDN/>
        <w:spacing w:before="0" w:line="360" w:lineRule="auto"/>
        <w:ind w:firstLine="709"/>
        <w:rPr>
          <w:rStyle w:val="CharacterStyle1"/>
          <w:sz w:val="24"/>
          <w:szCs w:val="24"/>
          <w:lang w:val="es-MX"/>
        </w:rPr>
      </w:pPr>
    </w:p>
    <w:p w14:paraId="66F6F663" w14:textId="77777777" w:rsidR="002C779E" w:rsidRPr="00762EAA" w:rsidRDefault="002C779E" w:rsidP="00226082">
      <w:pPr>
        <w:spacing w:after="0" w:line="360" w:lineRule="auto"/>
        <w:ind w:firstLine="709"/>
        <w:jc w:val="both"/>
        <w:rPr>
          <w:rFonts w:ascii="Arial" w:eastAsia="Times New Roman" w:hAnsi="Arial" w:cs="Arial"/>
          <w:sz w:val="24"/>
          <w:szCs w:val="24"/>
        </w:rPr>
      </w:pPr>
    </w:p>
    <w:sectPr w:rsidR="002C779E" w:rsidRPr="00762EAA">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4E4AD" w14:textId="77777777" w:rsidR="008F0B41" w:rsidRDefault="008F0B41" w:rsidP="004C7556">
      <w:pPr>
        <w:spacing w:after="0" w:line="240" w:lineRule="auto"/>
      </w:pPr>
      <w:r>
        <w:separator/>
      </w:r>
    </w:p>
  </w:endnote>
  <w:endnote w:type="continuationSeparator" w:id="0">
    <w:p w14:paraId="56FB9B01" w14:textId="77777777" w:rsidR="008F0B41" w:rsidRDefault="008F0B41" w:rsidP="004C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058363138"/>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445BF7F9" w14:textId="77777777" w:rsidR="009911EE" w:rsidRPr="00E27C53" w:rsidRDefault="009911EE" w:rsidP="005A694F">
            <w:pPr>
              <w:spacing w:after="0"/>
              <w:jc w:val="both"/>
              <w:rPr>
                <w:rFonts w:ascii="Arial" w:hAnsi="Arial" w:cs="Arial"/>
                <w:sz w:val="20"/>
                <w:szCs w:val="20"/>
              </w:rPr>
            </w:pPr>
          </w:p>
          <w:p w14:paraId="1744D557" w14:textId="50FFABC1" w:rsidR="00414FA9" w:rsidRPr="00E27C53" w:rsidRDefault="005A694F" w:rsidP="005A694F">
            <w:pPr>
              <w:spacing w:after="0"/>
              <w:jc w:val="both"/>
              <w:rPr>
                <w:rFonts w:ascii="Arial" w:hAnsi="Arial" w:cs="Arial"/>
                <w:b/>
                <w:sz w:val="20"/>
                <w:szCs w:val="20"/>
              </w:rPr>
            </w:pPr>
            <w:r w:rsidRPr="00E27C53">
              <w:rPr>
                <w:rFonts w:ascii="Arial" w:hAnsi="Arial" w:cs="Arial"/>
                <w:b/>
                <w:sz w:val="20"/>
                <w:szCs w:val="20"/>
              </w:rPr>
              <w:t>ACUERDO PLENO</w:t>
            </w:r>
            <w:r w:rsidR="00D82188">
              <w:rPr>
                <w:rFonts w:ascii="Arial" w:hAnsi="Arial" w:cs="Arial"/>
                <w:b/>
                <w:sz w:val="20"/>
                <w:szCs w:val="20"/>
              </w:rPr>
              <w:t xml:space="preserve"> 001</w:t>
            </w:r>
            <w:r w:rsidRPr="00E27C53">
              <w:rPr>
                <w:rFonts w:ascii="Arial" w:hAnsi="Arial" w:cs="Arial"/>
                <w:b/>
                <w:sz w:val="20"/>
                <w:szCs w:val="20"/>
              </w:rPr>
              <w:t>/20</w:t>
            </w:r>
            <w:r w:rsidR="00F64B52" w:rsidRPr="00E27C53">
              <w:rPr>
                <w:rFonts w:ascii="Arial" w:hAnsi="Arial" w:cs="Arial"/>
                <w:b/>
                <w:sz w:val="20"/>
                <w:szCs w:val="20"/>
              </w:rPr>
              <w:t>2</w:t>
            </w:r>
            <w:r w:rsidR="00D82188">
              <w:rPr>
                <w:rFonts w:ascii="Arial" w:hAnsi="Arial" w:cs="Arial"/>
                <w:b/>
                <w:sz w:val="20"/>
                <w:szCs w:val="20"/>
              </w:rPr>
              <w:t>5</w:t>
            </w:r>
            <w:r w:rsidR="00A84657" w:rsidRPr="00E27C53">
              <w:rPr>
                <w:rFonts w:ascii="Arial" w:hAnsi="Arial" w:cs="Arial"/>
                <w:b/>
                <w:sz w:val="20"/>
                <w:szCs w:val="20"/>
              </w:rPr>
              <w:t xml:space="preserve">                            </w:t>
            </w:r>
            <w:r w:rsidRPr="00E27C53">
              <w:rPr>
                <w:rFonts w:ascii="Arial" w:hAnsi="Arial" w:cs="Arial"/>
                <w:b/>
                <w:sz w:val="20"/>
                <w:szCs w:val="20"/>
              </w:rPr>
              <w:t xml:space="preserve">                         </w:t>
            </w:r>
            <w:r w:rsidR="00414FA9" w:rsidRPr="00E27C53">
              <w:rPr>
                <w:rFonts w:ascii="Arial" w:hAnsi="Arial" w:cs="Arial"/>
                <w:sz w:val="20"/>
                <w:szCs w:val="20"/>
                <w:lang w:val="es-ES"/>
              </w:rPr>
              <w:t xml:space="preserve">Página </w:t>
            </w:r>
            <w:r w:rsidR="00414FA9" w:rsidRPr="00E27C53">
              <w:rPr>
                <w:rFonts w:ascii="Arial" w:hAnsi="Arial" w:cs="Arial"/>
                <w:b/>
                <w:bCs/>
                <w:sz w:val="20"/>
                <w:szCs w:val="20"/>
              </w:rPr>
              <w:fldChar w:fldCharType="begin"/>
            </w:r>
            <w:r w:rsidR="00414FA9" w:rsidRPr="00E27C53">
              <w:rPr>
                <w:rFonts w:ascii="Arial" w:hAnsi="Arial" w:cs="Arial"/>
                <w:b/>
                <w:bCs/>
                <w:sz w:val="20"/>
                <w:szCs w:val="20"/>
              </w:rPr>
              <w:instrText>PAGE</w:instrText>
            </w:r>
            <w:r w:rsidR="00414FA9" w:rsidRPr="00E27C53">
              <w:rPr>
                <w:rFonts w:ascii="Arial" w:hAnsi="Arial" w:cs="Arial"/>
                <w:b/>
                <w:bCs/>
                <w:sz w:val="20"/>
                <w:szCs w:val="20"/>
              </w:rPr>
              <w:fldChar w:fldCharType="separate"/>
            </w:r>
            <w:r w:rsidR="00BB68A2" w:rsidRPr="00E27C53">
              <w:rPr>
                <w:rFonts w:ascii="Arial" w:hAnsi="Arial" w:cs="Arial"/>
                <w:b/>
                <w:bCs/>
                <w:noProof/>
                <w:sz w:val="20"/>
                <w:szCs w:val="20"/>
              </w:rPr>
              <w:t>4</w:t>
            </w:r>
            <w:r w:rsidR="00414FA9" w:rsidRPr="00E27C53">
              <w:rPr>
                <w:rFonts w:ascii="Arial" w:hAnsi="Arial" w:cs="Arial"/>
                <w:b/>
                <w:bCs/>
                <w:sz w:val="20"/>
                <w:szCs w:val="20"/>
              </w:rPr>
              <w:fldChar w:fldCharType="end"/>
            </w:r>
            <w:r w:rsidR="00414FA9" w:rsidRPr="00E27C53">
              <w:rPr>
                <w:rFonts w:ascii="Arial" w:hAnsi="Arial" w:cs="Arial"/>
                <w:sz w:val="20"/>
                <w:szCs w:val="20"/>
                <w:lang w:val="es-ES"/>
              </w:rPr>
              <w:t xml:space="preserve"> de </w:t>
            </w:r>
            <w:r w:rsidR="00414FA9" w:rsidRPr="00E27C53">
              <w:rPr>
                <w:rFonts w:ascii="Arial" w:hAnsi="Arial" w:cs="Arial"/>
                <w:b/>
                <w:bCs/>
                <w:sz w:val="20"/>
                <w:szCs w:val="20"/>
              </w:rPr>
              <w:fldChar w:fldCharType="begin"/>
            </w:r>
            <w:r w:rsidR="00414FA9" w:rsidRPr="00E27C53">
              <w:rPr>
                <w:rFonts w:ascii="Arial" w:hAnsi="Arial" w:cs="Arial"/>
                <w:b/>
                <w:bCs/>
                <w:sz w:val="20"/>
                <w:szCs w:val="20"/>
              </w:rPr>
              <w:instrText>NUMPAGES</w:instrText>
            </w:r>
            <w:r w:rsidR="00414FA9" w:rsidRPr="00E27C53">
              <w:rPr>
                <w:rFonts w:ascii="Arial" w:hAnsi="Arial" w:cs="Arial"/>
                <w:b/>
                <w:bCs/>
                <w:sz w:val="20"/>
                <w:szCs w:val="20"/>
              </w:rPr>
              <w:fldChar w:fldCharType="separate"/>
            </w:r>
            <w:r w:rsidR="00BB68A2" w:rsidRPr="00E27C53">
              <w:rPr>
                <w:rFonts w:ascii="Arial" w:hAnsi="Arial" w:cs="Arial"/>
                <w:b/>
                <w:bCs/>
                <w:noProof/>
                <w:sz w:val="20"/>
                <w:szCs w:val="20"/>
              </w:rPr>
              <w:t>4</w:t>
            </w:r>
            <w:r w:rsidR="00414FA9" w:rsidRPr="00E27C53">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59858" w14:textId="77777777" w:rsidR="008F0B41" w:rsidRDefault="008F0B41" w:rsidP="004C7556">
      <w:pPr>
        <w:spacing w:after="0" w:line="240" w:lineRule="auto"/>
      </w:pPr>
      <w:r>
        <w:separator/>
      </w:r>
    </w:p>
  </w:footnote>
  <w:footnote w:type="continuationSeparator" w:id="0">
    <w:p w14:paraId="5B4FB00C" w14:textId="77777777" w:rsidR="008F0B41" w:rsidRDefault="008F0B41" w:rsidP="004C7556">
      <w:pPr>
        <w:spacing w:after="0" w:line="240" w:lineRule="auto"/>
      </w:pPr>
      <w:r>
        <w:continuationSeparator/>
      </w:r>
    </w:p>
  </w:footnote>
  <w:footnote w:id="1">
    <w:p w14:paraId="7A45B23E" w14:textId="64D4785A" w:rsidR="00CE71C4" w:rsidRPr="00BA7D38" w:rsidRDefault="00CE71C4" w:rsidP="00BA7D38">
      <w:pPr>
        <w:spacing w:after="0" w:line="240" w:lineRule="auto"/>
        <w:jc w:val="both"/>
        <w:rPr>
          <w:rFonts w:ascii="Arial" w:hAnsi="Arial" w:cs="Arial"/>
          <w:sz w:val="18"/>
          <w:szCs w:val="18"/>
        </w:rPr>
      </w:pPr>
      <w:r w:rsidRPr="00BA7D38">
        <w:rPr>
          <w:rStyle w:val="Refdenotaalpie"/>
          <w:rFonts w:ascii="Arial" w:hAnsi="Arial" w:cs="Arial"/>
          <w:sz w:val="18"/>
          <w:szCs w:val="18"/>
        </w:rPr>
        <w:footnoteRef/>
      </w:r>
      <w:r w:rsidRPr="00BA7D38">
        <w:rPr>
          <w:rFonts w:ascii="Arial" w:hAnsi="Arial" w:cs="Arial"/>
          <w:sz w:val="18"/>
          <w:szCs w:val="18"/>
        </w:rPr>
        <w:t xml:space="preserve"> En sesión plenaria extraordinaria que tuvo verificativo el </w:t>
      </w:r>
      <w:r w:rsidR="004650C1">
        <w:rPr>
          <w:rFonts w:ascii="Arial" w:hAnsi="Arial" w:cs="Arial"/>
          <w:sz w:val="18"/>
          <w:szCs w:val="18"/>
        </w:rPr>
        <w:t>catorce</w:t>
      </w:r>
      <w:r w:rsidRPr="00BA7D38">
        <w:rPr>
          <w:rFonts w:ascii="Arial" w:hAnsi="Arial" w:cs="Arial"/>
          <w:sz w:val="18"/>
          <w:szCs w:val="18"/>
        </w:rPr>
        <w:t xml:space="preserve"> de enero del año en curso, el Pleno del Tribunal Superior de Justicia del Estado estableció como período vacacional para el año 2024, el primero, a partir del lunes 2</w:t>
      </w:r>
      <w:r w:rsidR="002A5FDB">
        <w:rPr>
          <w:rFonts w:ascii="Arial" w:hAnsi="Arial" w:cs="Arial"/>
          <w:sz w:val="18"/>
          <w:szCs w:val="18"/>
        </w:rPr>
        <w:t>1</w:t>
      </w:r>
      <w:r w:rsidRPr="00BA7D38">
        <w:rPr>
          <w:rFonts w:ascii="Arial" w:hAnsi="Arial" w:cs="Arial"/>
          <w:sz w:val="18"/>
          <w:szCs w:val="18"/>
        </w:rPr>
        <w:t xml:space="preserve"> de julio al viernes </w:t>
      </w:r>
      <w:r w:rsidR="002A5FDB">
        <w:rPr>
          <w:rFonts w:ascii="Arial" w:hAnsi="Arial" w:cs="Arial"/>
          <w:sz w:val="18"/>
          <w:szCs w:val="18"/>
        </w:rPr>
        <w:t>1</w:t>
      </w:r>
      <w:r w:rsidRPr="00BA7D38">
        <w:rPr>
          <w:rFonts w:ascii="Arial" w:hAnsi="Arial" w:cs="Arial"/>
          <w:sz w:val="18"/>
          <w:szCs w:val="18"/>
        </w:rPr>
        <w:t xml:space="preserve"> de agosto y, el segundo, del jueves 1</w:t>
      </w:r>
      <w:r w:rsidR="002A5FDB">
        <w:rPr>
          <w:rFonts w:ascii="Arial" w:hAnsi="Arial" w:cs="Arial"/>
          <w:sz w:val="18"/>
          <w:szCs w:val="18"/>
        </w:rPr>
        <w:t>8</w:t>
      </w:r>
      <w:r w:rsidRPr="00BA7D38">
        <w:rPr>
          <w:rFonts w:ascii="Arial" w:hAnsi="Arial" w:cs="Arial"/>
          <w:sz w:val="18"/>
          <w:szCs w:val="18"/>
        </w:rPr>
        <w:t xml:space="preserve"> de diciembre al </w:t>
      </w:r>
      <w:r w:rsidR="002A5FDB">
        <w:rPr>
          <w:rFonts w:ascii="Arial" w:hAnsi="Arial" w:cs="Arial"/>
          <w:sz w:val="18"/>
          <w:szCs w:val="18"/>
        </w:rPr>
        <w:t>2</w:t>
      </w:r>
      <w:r w:rsidRPr="00BA7D38">
        <w:rPr>
          <w:rFonts w:ascii="Arial" w:hAnsi="Arial" w:cs="Arial"/>
          <w:sz w:val="18"/>
          <w:szCs w:val="18"/>
        </w:rPr>
        <w:t xml:space="preserve"> de enero de 202</w:t>
      </w:r>
      <w:r w:rsidR="002A5FDB">
        <w:rPr>
          <w:rFonts w:ascii="Arial" w:hAnsi="Arial" w:cs="Arial"/>
          <w:sz w:val="18"/>
          <w:szCs w:val="18"/>
        </w:rPr>
        <w:t>6</w:t>
      </w:r>
      <w:r w:rsidRPr="00BA7D38">
        <w:rPr>
          <w:rFonts w:ascii="Arial" w:hAnsi="Arial" w:cs="Arial"/>
          <w:sz w:val="18"/>
          <w:szCs w:val="18"/>
        </w:rPr>
        <w:t>.</w:t>
      </w:r>
      <w:r w:rsidR="004650C1">
        <w:rPr>
          <w:rFonts w:ascii="Arial" w:hAnsi="Arial" w:cs="Arial"/>
          <w:sz w:val="18"/>
          <w:szCs w:val="18"/>
        </w:rPr>
        <w:t xml:space="preserve"> Consultable en </w:t>
      </w:r>
      <w:hyperlink r:id="rId1" w:history="1">
        <w:r w:rsidR="004650C1" w:rsidRPr="00E0185C">
          <w:rPr>
            <w:rStyle w:val="Hipervnculo"/>
            <w:rFonts w:ascii="Arial" w:hAnsi="Arial" w:cs="Arial"/>
            <w:sz w:val="18"/>
            <w:szCs w:val="18"/>
          </w:rPr>
          <w:t>http://www.stj.gob.mx/tribunal-virtual/sesiones-plenarias.php</w:t>
        </w:r>
      </w:hyperlink>
      <w:r w:rsidR="004650C1">
        <w:rPr>
          <w:rFonts w:ascii="Arial" w:hAnsi="Arial" w:cs="Arial"/>
          <w:sz w:val="18"/>
          <w:szCs w:val="18"/>
        </w:rPr>
        <w:t xml:space="preserve"> </w:t>
      </w:r>
    </w:p>
  </w:footnote>
  <w:footnote w:id="2">
    <w:p w14:paraId="11C0AE35" w14:textId="77777777" w:rsidR="00BA7D38" w:rsidRPr="00342A4D" w:rsidRDefault="00BA7D38" w:rsidP="00BA7D38">
      <w:pPr>
        <w:pStyle w:val="Textonotapie"/>
        <w:jc w:val="both"/>
        <w:rPr>
          <w:rFonts w:ascii="Arial" w:hAnsi="Arial" w:cs="Arial"/>
          <w:sz w:val="18"/>
          <w:szCs w:val="18"/>
        </w:rPr>
      </w:pPr>
      <w:r w:rsidRPr="00BA7D38">
        <w:rPr>
          <w:rStyle w:val="Refdenotaalpie"/>
          <w:rFonts w:ascii="Arial" w:hAnsi="Arial" w:cs="Arial"/>
          <w:sz w:val="18"/>
          <w:szCs w:val="18"/>
        </w:rPr>
        <w:footnoteRef/>
      </w:r>
      <w:r w:rsidRPr="00BA7D38">
        <w:rPr>
          <w:rFonts w:ascii="Arial" w:hAnsi="Arial" w:cs="Arial"/>
          <w:sz w:val="18"/>
          <w:szCs w:val="18"/>
        </w:rPr>
        <w:t xml:space="preserve"> </w:t>
      </w:r>
      <w:r w:rsidRPr="00BA7D38">
        <w:rPr>
          <w:rFonts w:ascii="Arial" w:hAnsi="Arial" w:cs="Arial"/>
          <w:sz w:val="18"/>
          <w:szCs w:val="18"/>
        </w:rPr>
        <w:t>Con fundamento en las disposiciones siguientes:</w:t>
      </w:r>
    </w:p>
    <w:p w14:paraId="27E7F10F" w14:textId="77777777" w:rsidR="00BA7D38" w:rsidRPr="00342A4D" w:rsidRDefault="00BA7D38" w:rsidP="00BA7D38">
      <w:pPr>
        <w:pStyle w:val="Textonotapie"/>
        <w:jc w:val="both"/>
        <w:rPr>
          <w:rFonts w:ascii="Arial" w:hAnsi="Arial" w:cs="Arial"/>
          <w:b/>
          <w:bCs/>
          <w:sz w:val="18"/>
          <w:szCs w:val="18"/>
        </w:rPr>
      </w:pPr>
      <w:r w:rsidRPr="00342A4D">
        <w:rPr>
          <w:rFonts w:ascii="Arial" w:hAnsi="Arial" w:cs="Arial"/>
          <w:b/>
          <w:bCs/>
          <w:sz w:val="18"/>
          <w:szCs w:val="18"/>
        </w:rPr>
        <w:t>Artículo 74 del Código de Procedimientos Civiles del Estado, de aplicación supletoria.</w:t>
      </w:r>
    </w:p>
    <w:p w14:paraId="0817A312"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Las actuaciones judiciales se practicarán en días y horas hábiles. Son días hábiles todos los del año, con exclusión de los sábados y domingos, el primero de enero, el primer lunes de febrero, en conmemoración del cinco de febrero; el tercer lunes de marzo, en conmemoración del veintiuno de marzo; el primero y cinco de mayo, el quince y dieciséis de septiembre, el doce de octubre, el tercer lunes de noviembre, en conmemoración del veinte de noviembre; el primero de diciembre de cada seis años cuando corresponda a la transmisión del Poder Ejecutivo Federal; el veinticinco de diciembre, y aquellos en que por acuerdo del Pleno del Tribunal Superior de Justicia del Estado permanezcan cerrados los tribunales.</w:t>
      </w:r>
    </w:p>
    <w:p w14:paraId="0DD79C1E" w14:textId="77777777" w:rsidR="00BA7D38" w:rsidRPr="00342A4D" w:rsidRDefault="00BA7D38" w:rsidP="00BA7D38">
      <w:pPr>
        <w:pStyle w:val="Textonotapie"/>
        <w:jc w:val="both"/>
        <w:rPr>
          <w:rFonts w:ascii="Arial" w:hAnsi="Arial" w:cs="Arial"/>
          <w:b/>
          <w:bCs/>
          <w:sz w:val="18"/>
          <w:szCs w:val="18"/>
        </w:rPr>
      </w:pPr>
      <w:r w:rsidRPr="00342A4D">
        <w:rPr>
          <w:rFonts w:ascii="Arial" w:hAnsi="Arial" w:cs="Arial"/>
          <w:b/>
          <w:bCs/>
          <w:sz w:val="18"/>
          <w:szCs w:val="18"/>
        </w:rPr>
        <w:t>Artículo 74 de la Ley Federal del Trabajo.</w:t>
      </w:r>
    </w:p>
    <w:p w14:paraId="238CF5AE"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 xml:space="preserve"> Son días de descanso obligatorio:</w:t>
      </w:r>
    </w:p>
    <w:p w14:paraId="71B9D253"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I. El 1o. de enero;</w:t>
      </w:r>
    </w:p>
    <w:p w14:paraId="00C6AA40"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II. El primer lunes de febrero en conmemoración del 5 de febrero;</w:t>
      </w:r>
    </w:p>
    <w:p w14:paraId="607E0289"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III. El tercer lunes de marzo en conmemoración del 21 de marzo;</w:t>
      </w:r>
    </w:p>
    <w:p w14:paraId="5D341ED5"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IV. El 1o. de mayo;</w:t>
      </w:r>
    </w:p>
    <w:p w14:paraId="338FA73F"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V. El 16 de septiembre;</w:t>
      </w:r>
    </w:p>
    <w:p w14:paraId="290FFBDF"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VI. El tercer lunes de noviembre en conmemoración del 20 de noviembre;</w:t>
      </w:r>
    </w:p>
    <w:p w14:paraId="653E67A3"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VII. El 1o. de diciembre de cada seis años, cuando corresponda a la transmisión del Poder Ejecutivo</w:t>
      </w:r>
    </w:p>
    <w:p w14:paraId="261AB8F3"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Federal;</w:t>
      </w:r>
    </w:p>
    <w:p w14:paraId="6A3608DC"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VIII. El 25 de diciembre, y</w:t>
      </w:r>
    </w:p>
    <w:p w14:paraId="35FEBDCF" w14:textId="77777777" w:rsidR="00BA7D38" w:rsidRPr="00342A4D" w:rsidRDefault="00BA7D38" w:rsidP="00BA7D38">
      <w:pPr>
        <w:pStyle w:val="Textonotapie"/>
        <w:jc w:val="both"/>
        <w:rPr>
          <w:rFonts w:ascii="Arial" w:hAnsi="Arial" w:cs="Arial"/>
          <w:sz w:val="18"/>
          <w:szCs w:val="18"/>
        </w:rPr>
      </w:pPr>
      <w:r w:rsidRPr="00342A4D">
        <w:rPr>
          <w:rFonts w:ascii="Arial" w:hAnsi="Arial" w:cs="Arial"/>
          <w:sz w:val="18"/>
          <w:szCs w:val="18"/>
        </w:rPr>
        <w:t>IX. El que determinen las leyes federales y locales electorales, en el caso de elecciones ordinarias, para efectuar la jornada electoral.</w:t>
      </w:r>
    </w:p>
    <w:p w14:paraId="08C47888" w14:textId="77777777" w:rsidR="00BA7D38" w:rsidRPr="00490C42" w:rsidRDefault="00BA7D38" w:rsidP="00BA7D38">
      <w:pPr>
        <w:pStyle w:val="Textonotapie"/>
        <w:jc w:val="both"/>
        <w:rPr>
          <w:rFonts w:ascii="Century Gothic" w:hAnsi="Century Gothic"/>
          <w:sz w:val="18"/>
          <w:szCs w:val="18"/>
        </w:rPr>
      </w:pPr>
    </w:p>
  </w:footnote>
  <w:footnote w:id="3">
    <w:p w14:paraId="767B04EC" w14:textId="77777777" w:rsidR="00CE71C4" w:rsidRPr="00342A4D" w:rsidRDefault="00CE71C4" w:rsidP="00CE71C4">
      <w:pPr>
        <w:tabs>
          <w:tab w:val="left" w:pos="6480"/>
        </w:tabs>
        <w:spacing w:after="0" w:line="240" w:lineRule="auto"/>
        <w:jc w:val="both"/>
        <w:rPr>
          <w:rFonts w:ascii="Arial" w:hAnsi="Arial" w:cs="Arial"/>
          <w:sz w:val="18"/>
          <w:szCs w:val="18"/>
        </w:rPr>
      </w:pPr>
      <w:r w:rsidRPr="00342A4D">
        <w:rPr>
          <w:rStyle w:val="Refdenotaalpie"/>
          <w:rFonts w:ascii="Arial" w:hAnsi="Arial" w:cs="Arial"/>
          <w:sz w:val="18"/>
          <w:szCs w:val="18"/>
        </w:rPr>
        <w:footnoteRef/>
      </w:r>
      <w:r w:rsidRPr="00342A4D">
        <w:rPr>
          <w:rFonts w:ascii="Arial" w:hAnsi="Arial" w:cs="Arial"/>
          <w:sz w:val="18"/>
          <w:szCs w:val="18"/>
        </w:rPr>
        <w:t xml:space="preserve"> </w:t>
      </w:r>
      <w:r w:rsidRPr="00342A4D">
        <w:rPr>
          <w:rFonts w:ascii="Arial" w:hAnsi="Arial" w:cs="Arial"/>
          <w:b/>
          <w:bCs/>
          <w:sz w:val="18"/>
          <w:szCs w:val="18"/>
        </w:rPr>
        <w:t>CUARTO.</w:t>
      </w:r>
      <w:r w:rsidRPr="00342A4D">
        <w:rPr>
          <w:rFonts w:ascii="Arial" w:hAnsi="Arial" w:cs="Arial"/>
          <w:sz w:val="18"/>
          <w:szCs w:val="18"/>
        </w:rPr>
        <w:t xml:space="preserve"> Se determina como horario de atención al público el comprendido entre las entre las 9:00 y las 15:00 horas, horario en que la recepción de promociones, correspondencia y demás documentos dirigidos al Tribunal se podrán presentar en la Oficialía de Partes.</w:t>
      </w:r>
    </w:p>
    <w:p w14:paraId="6878B743" w14:textId="77777777" w:rsidR="00CE71C4" w:rsidRPr="00342A4D" w:rsidRDefault="00CE71C4" w:rsidP="00CE71C4">
      <w:pPr>
        <w:tabs>
          <w:tab w:val="left" w:pos="6480"/>
        </w:tabs>
        <w:spacing w:after="0" w:line="240" w:lineRule="auto"/>
        <w:jc w:val="both"/>
        <w:rPr>
          <w:rFonts w:ascii="Arial" w:hAnsi="Arial" w:cs="Arial"/>
          <w:sz w:val="18"/>
          <w:szCs w:val="18"/>
        </w:rPr>
      </w:pPr>
    </w:p>
    <w:p w14:paraId="7A1B63F9" w14:textId="77777777" w:rsidR="00CE71C4" w:rsidRPr="00342A4D" w:rsidRDefault="00CE71C4" w:rsidP="00CE71C4">
      <w:pPr>
        <w:tabs>
          <w:tab w:val="left" w:pos="6480"/>
        </w:tabs>
        <w:spacing w:after="0" w:line="240" w:lineRule="auto"/>
        <w:jc w:val="both"/>
        <w:rPr>
          <w:rFonts w:ascii="Arial" w:hAnsi="Arial" w:cs="Arial"/>
          <w:b/>
          <w:bCs/>
          <w:sz w:val="18"/>
          <w:szCs w:val="18"/>
        </w:rPr>
      </w:pPr>
      <w:r w:rsidRPr="00342A4D">
        <w:rPr>
          <w:rFonts w:ascii="Arial" w:hAnsi="Arial" w:cs="Arial"/>
          <w:b/>
          <w:bCs/>
          <w:sz w:val="18"/>
          <w:szCs w:val="18"/>
        </w:rPr>
        <w:t>Después del horario de atención al público, para la presentación de promociones el día de su término, éstas podrán presentarse ante el personal autorizado o en el buzón que para tal efecto se implemente en la Oficialía de Partes en el horario de las 15:01 a las 23:59 horas.</w:t>
      </w:r>
    </w:p>
    <w:p w14:paraId="07D7311C" w14:textId="77777777" w:rsidR="00CE71C4" w:rsidRPr="00490C42" w:rsidRDefault="00CE71C4" w:rsidP="00CE71C4">
      <w:pPr>
        <w:pStyle w:val="Textonotapie"/>
        <w:jc w:val="both"/>
        <w:rPr>
          <w:rFonts w:ascii="Century Gothic" w:hAnsi="Century Gothic"/>
          <w:b/>
          <w:bCs/>
          <w:sz w:val="18"/>
          <w:szCs w:val="18"/>
        </w:rPr>
      </w:pPr>
    </w:p>
  </w:footnote>
  <w:footnote w:id="4">
    <w:p w14:paraId="2FA287D5" w14:textId="36660E2E" w:rsidR="000B4FFA" w:rsidRPr="00D82188" w:rsidRDefault="000B4FFA" w:rsidP="00D82188">
      <w:pPr>
        <w:pStyle w:val="Textonotapie"/>
        <w:jc w:val="both"/>
        <w:rPr>
          <w:rFonts w:ascii="Arial" w:hAnsi="Arial" w:cs="Arial"/>
        </w:rPr>
      </w:pPr>
      <w:r w:rsidRPr="00D82188">
        <w:rPr>
          <w:rStyle w:val="Refdenotaalpie"/>
          <w:rFonts w:ascii="Arial" w:hAnsi="Arial" w:cs="Arial"/>
        </w:rPr>
        <w:footnoteRef/>
      </w:r>
      <w:r w:rsidRPr="00D82188">
        <w:rPr>
          <w:rFonts w:ascii="Arial" w:hAnsi="Arial" w:cs="Arial"/>
        </w:rPr>
        <w:t xml:space="preserve"> </w:t>
      </w:r>
      <w:r w:rsidRPr="00D82188">
        <w:rPr>
          <w:rFonts w:ascii="Arial" w:hAnsi="Arial" w:cs="Arial"/>
        </w:rPr>
        <w:t>Esta hoja de firmas corresponde al acuerdo plenario identificado con la clave ACUERDO PLENO</w:t>
      </w:r>
      <w:r w:rsidR="00D82188" w:rsidRPr="00D82188">
        <w:rPr>
          <w:rFonts w:ascii="Arial" w:hAnsi="Arial" w:cs="Arial"/>
        </w:rPr>
        <w:t xml:space="preserve"> 001</w:t>
      </w:r>
      <w:r w:rsidRPr="00D82188">
        <w:rPr>
          <w:rFonts w:ascii="Arial" w:hAnsi="Arial" w:cs="Arial"/>
        </w:rPr>
        <w:t>/202</w:t>
      </w:r>
      <w:r w:rsidR="00D82188" w:rsidRPr="00D82188">
        <w:rPr>
          <w:rFonts w:ascii="Arial" w:hAnsi="Arial" w:cs="Arial"/>
        </w:rPr>
        <w:t>5</w:t>
      </w:r>
      <w:r w:rsidRPr="00D82188">
        <w:rPr>
          <w:rFonts w:ascii="Arial" w:hAnsi="Arial" w:cs="Arial"/>
        </w:rPr>
        <w:t xml:space="preserve">, mediante el cual </w:t>
      </w:r>
      <w:r w:rsidR="00D82188" w:rsidRPr="00D82188">
        <w:rPr>
          <w:rFonts w:ascii="Arial" w:hAnsi="Arial" w:cs="Arial"/>
        </w:rPr>
        <w:t xml:space="preserve">el cual se determina </w:t>
      </w:r>
      <w:r w:rsidR="00D82188" w:rsidRPr="00D82188">
        <w:rPr>
          <w:rFonts w:ascii="Arial" w:hAnsi="Arial" w:cs="Arial"/>
        </w:rPr>
        <w:t>el calendario oficial de labores y los periodos vacacionales correspondientes al año 2025.</w:t>
      </w:r>
      <w:r w:rsidR="000D3BBB" w:rsidRPr="00D82188">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ED9"/>
    <w:multiLevelType w:val="hybridMultilevel"/>
    <w:tmpl w:val="8A0C5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7323B"/>
    <w:multiLevelType w:val="hybridMultilevel"/>
    <w:tmpl w:val="36BA0D40"/>
    <w:lvl w:ilvl="0" w:tplc="A3B2751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9B2ED2"/>
    <w:multiLevelType w:val="hybridMultilevel"/>
    <w:tmpl w:val="4EF4791C"/>
    <w:lvl w:ilvl="0" w:tplc="40F4260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FBF539F"/>
    <w:multiLevelType w:val="hybridMultilevel"/>
    <w:tmpl w:val="E3480814"/>
    <w:lvl w:ilvl="0" w:tplc="2CD09678">
      <w:start w:val="1"/>
      <w:numFmt w:val="lowerLetter"/>
      <w:lvlText w:val="%1)"/>
      <w:lvlJc w:val="left"/>
      <w:pPr>
        <w:ind w:left="1069" w:hanging="360"/>
      </w:pPr>
      <w:rPr>
        <w:rFonts w:hint="default"/>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4AB53A7"/>
    <w:multiLevelType w:val="hybridMultilevel"/>
    <w:tmpl w:val="92D20A96"/>
    <w:lvl w:ilvl="0" w:tplc="58D2C52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DF37517"/>
    <w:multiLevelType w:val="hybridMultilevel"/>
    <w:tmpl w:val="8AB00E9E"/>
    <w:lvl w:ilvl="0" w:tplc="30B6009C">
      <w:start w:val="1"/>
      <w:numFmt w:val="upperRoman"/>
      <w:lvlText w:val="%1."/>
      <w:lvlJc w:val="left"/>
      <w:pPr>
        <w:ind w:left="1080" w:hanging="720"/>
      </w:pPr>
      <w:rPr>
        <w:rFonts w:hint="default"/>
        <w:b/>
        <w:bCs/>
      </w:rPr>
    </w:lvl>
    <w:lvl w:ilvl="1" w:tplc="93A6A9D8">
      <w:start w:val="1"/>
      <w:numFmt w:val="decimal"/>
      <w:lvlText w:val="%2."/>
      <w:lvlJc w:val="left"/>
      <w:pPr>
        <w:ind w:left="1440" w:hanging="360"/>
      </w:pPr>
      <w:rPr>
        <w:rFonts w:hint="default"/>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0E4C71"/>
    <w:multiLevelType w:val="hybridMultilevel"/>
    <w:tmpl w:val="1AD6C8CA"/>
    <w:lvl w:ilvl="0" w:tplc="A5261B6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C34880"/>
    <w:multiLevelType w:val="hybridMultilevel"/>
    <w:tmpl w:val="2C88B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5980247">
    <w:abstractNumId w:val="2"/>
  </w:num>
  <w:num w:numId="2" w16cid:durableId="825971213">
    <w:abstractNumId w:val="0"/>
  </w:num>
  <w:num w:numId="3" w16cid:durableId="315652321">
    <w:abstractNumId w:val="7"/>
  </w:num>
  <w:num w:numId="4" w16cid:durableId="507253317">
    <w:abstractNumId w:val="5"/>
  </w:num>
  <w:num w:numId="5" w16cid:durableId="1868324286">
    <w:abstractNumId w:val="3"/>
  </w:num>
  <w:num w:numId="6" w16cid:durableId="1246260304">
    <w:abstractNumId w:val="1"/>
  </w:num>
  <w:num w:numId="7" w16cid:durableId="254365075">
    <w:abstractNumId w:val="4"/>
  </w:num>
  <w:num w:numId="8" w16cid:durableId="1383018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F2"/>
    <w:rsid w:val="00002625"/>
    <w:rsid w:val="00007C84"/>
    <w:rsid w:val="00010767"/>
    <w:rsid w:val="00014468"/>
    <w:rsid w:val="000158FF"/>
    <w:rsid w:val="000407CA"/>
    <w:rsid w:val="00041D01"/>
    <w:rsid w:val="000532DD"/>
    <w:rsid w:val="00053E42"/>
    <w:rsid w:val="00055B25"/>
    <w:rsid w:val="00056DB6"/>
    <w:rsid w:val="0006089E"/>
    <w:rsid w:val="00063F27"/>
    <w:rsid w:val="0007223D"/>
    <w:rsid w:val="00073D44"/>
    <w:rsid w:val="00074798"/>
    <w:rsid w:val="00080129"/>
    <w:rsid w:val="00090D35"/>
    <w:rsid w:val="00094A56"/>
    <w:rsid w:val="000A0C1C"/>
    <w:rsid w:val="000A4C21"/>
    <w:rsid w:val="000B4FFA"/>
    <w:rsid w:val="000B5786"/>
    <w:rsid w:val="000C0A30"/>
    <w:rsid w:val="000C140A"/>
    <w:rsid w:val="000C54B7"/>
    <w:rsid w:val="000D3BBB"/>
    <w:rsid w:val="000D780F"/>
    <w:rsid w:val="000E754E"/>
    <w:rsid w:val="000F5DD0"/>
    <w:rsid w:val="00113BA5"/>
    <w:rsid w:val="001153D5"/>
    <w:rsid w:val="00115B14"/>
    <w:rsid w:val="00141593"/>
    <w:rsid w:val="00142D29"/>
    <w:rsid w:val="001515ED"/>
    <w:rsid w:val="00167781"/>
    <w:rsid w:val="00171106"/>
    <w:rsid w:val="00183F04"/>
    <w:rsid w:val="001860A7"/>
    <w:rsid w:val="00192782"/>
    <w:rsid w:val="001A396F"/>
    <w:rsid w:val="001B26F6"/>
    <w:rsid w:val="001B54B5"/>
    <w:rsid w:val="001E2CF8"/>
    <w:rsid w:val="001E6034"/>
    <w:rsid w:val="001F620D"/>
    <w:rsid w:val="0020028D"/>
    <w:rsid w:val="00201147"/>
    <w:rsid w:val="00201D9F"/>
    <w:rsid w:val="002112D6"/>
    <w:rsid w:val="00211A9B"/>
    <w:rsid w:val="00222BD2"/>
    <w:rsid w:val="0022459A"/>
    <w:rsid w:val="00224E4D"/>
    <w:rsid w:val="002255D6"/>
    <w:rsid w:val="00226082"/>
    <w:rsid w:val="00227081"/>
    <w:rsid w:val="00236A7A"/>
    <w:rsid w:val="00237126"/>
    <w:rsid w:val="00241219"/>
    <w:rsid w:val="00242019"/>
    <w:rsid w:val="00245BE4"/>
    <w:rsid w:val="0024685F"/>
    <w:rsid w:val="002528E5"/>
    <w:rsid w:val="00256097"/>
    <w:rsid w:val="00256B90"/>
    <w:rsid w:val="00282C6C"/>
    <w:rsid w:val="0029421A"/>
    <w:rsid w:val="00296E4D"/>
    <w:rsid w:val="002A5FDB"/>
    <w:rsid w:val="002A6491"/>
    <w:rsid w:val="002B0E09"/>
    <w:rsid w:val="002B2F08"/>
    <w:rsid w:val="002B4C7F"/>
    <w:rsid w:val="002C5711"/>
    <w:rsid w:val="002C675F"/>
    <w:rsid w:val="002C779E"/>
    <w:rsid w:val="002E0FC6"/>
    <w:rsid w:val="002E1D58"/>
    <w:rsid w:val="002E6C4D"/>
    <w:rsid w:val="002E7900"/>
    <w:rsid w:val="002F1B06"/>
    <w:rsid w:val="002F4EBC"/>
    <w:rsid w:val="00302D97"/>
    <w:rsid w:val="003037DF"/>
    <w:rsid w:val="00314367"/>
    <w:rsid w:val="0032484B"/>
    <w:rsid w:val="003279E9"/>
    <w:rsid w:val="00331DDC"/>
    <w:rsid w:val="00333324"/>
    <w:rsid w:val="003368A2"/>
    <w:rsid w:val="0034203E"/>
    <w:rsid w:val="00342A4D"/>
    <w:rsid w:val="00360E13"/>
    <w:rsid w:val="0037616B"/>
    <w:rsid w:val="003864D7"/>
    <w:rsid w:val="00392B9D"/>
    <w:rsid w:val="003A07CF"/>
    <w:rsid w:val="003A3385"/>
    <w:rsid w:val="003D36F2"/>
    <w:rsid w:val="003E07A4"/>
    <w:rsid w:val="003E2FC1"/>
    <w:rsid w:val="003E719F"/>
    <w:rsid w:val="003F4B40"/>
    <w:rsid w:val="003F58D6"/>
    <w:rsid w:val="0040417D"/>
    <w:rsid w:val="00414FA9"/>
    <w:rsid w:val="00420AE6"/>
    <w:rsid w:val="00425E65"/>
    <w:rsid w:val="004339BC"/>
    <w:rsid w:val="00433C99"/>
    <w:rsid w:val="004360ED"/>
    <w:rsid w:val="00442F43"/>
    <w:rsid w:val="0045044B"/>
    <w:rsid w:val="00451459"/>
    <w:rsid w:val="00453403"/>
    <w:rsid w:val="004548BE"/>
    <w:rsid w:val="004650C1"/>
    <w:rsid w:val="00466914"/>
    <w:rsid w:val="00474F3A"/>
    <w:rsid w:val="00475051"/>
    <w:rsid w:val="004750DB"/>
    <w:rsid w:val="00475F79"/>
    <w:rsid w:val="0048329D"/>
    <w:rsid w:val="004930B1"/>
    <w:rsid w:val="004C17D2"/>
    <w:rsid w:val="004C7556"/>
    <w:rsid w:val="004D0BBB"/>
    <w:rsid w:val="004D3C00"/>
    <w:rsid w:val="004D6563"/>
    <w:rsid w:val="004E1755"/>
    <w:rsid w:val="004E2CAB"/>
    <w:rsid w:val="004E7016"/>
    <w:rsid w:val="00501F93"/>
    <w:rsid w:val="005142EB"/>
    <w:rsid w:val="00523065"/>
    <w:rsid w:val="005351A7"/>
    <w:rsid w:val="00537B5A"/>
    <w:rsid w:val="00543AE3"/>
    <w:rsid w:val="0054745D"/>
    <w:rsid w:val="00574AD7"/>
    <w:rsid w:val="0057627F"/>
    <w:rsid w:val="00583AD2"/>
    <w:rsid w:val="00587AFD"/>
    <w:rsid w:val="005A2420"/>
    <w:rsid w:val="005A694F"/>
    <w:rsid w:val="005B0448"/>
    <w:rsid w:val="005B519F"/>
    <w:rsid w:val="005C1648"/>
    <w:rsid w:val="005D1EA2"/>
    <w:rsid w:val="005D5830"/>
    <w:rsid w:val="005E1D5E"/>
    <w:rsid w:val="005F1F9F"/>
    <w:rsid w:val="005F4342"/>
    <w:rsid w:val="00602AF6"/>
    <w:rsid w:val="0061346B"/>
    <w:rsid w:val="0062551F"/>
    <w:rsid w:val="00631CF7"/>
    <w:rsid w:val="00650219"/>
    <w:rsid w:val="006566D1"/>
    <w:rsid w:val="00663647"/>
    <w:rsid w:val="0067012B"/>
    <w:rsid w:val="0067142E"/>
    <w:rsid w:val="006740EF"/>
    <w:rsid w:val="00682EF2"/>
    <w:rsid w:val="006851C9"/>
    <w:rsid w:val="00685B1A"/>
    <w:rsid w:val="00686CEC"/>
    <w:rsid w:val="006917EF"/>
    <w:rsid w:val="006A33B7"/>
    <w:rsid w:val="006B4A33"/>
    <w:rsid w:val="006C4563"/>
    <w:rsid w:val="006D1395"/>
    <w:rsid w:val="006D4AC8"/>
    <w:rsid w:val="006D6A25"/>
    <w:rsid w:val="006E494D"/>
    <w:rsid w:val="006E50D0"/>
    <w:rsid w:val="006F098A"/>
    <w:rsid w:val="006F4D85"/>
    <w:rsid w:val="006F5ACC"/>
    <w:rsid w:val="0070306C"/>
    <w:rsid w:val="0070730C"/>
    <w:rsid w:val="0071119F"/>
    <w:rsid w:val="0072693B"/>
    <w:rsid w:val="00735E85"/>
    <w:rsid w:val="007406C5"/>
    <w:rsid w:val="00740839"/>
    <w:rsid w:val="007454F2"/>
    <w:rsid w:val="00745602"/>
    <w:rsid w:val="00762EAA"/>
    <w:rsid w:val="00764525"/>
    <w:rsid w:val="00767901"/>
    <w:rsid w:val="0077263D"/>
    <w:rsid w:val="0077266D"/>
    <w:rsid w:val="00773965"/>
    <w:rsid w:val="00783D42"/>
    <w:rsid w:val="007849E3"/>
    <w:rsid w:val="007A4FE6"/>
    <w:rsid w:val="007A612C"/>
    <w:rsid w:val="007B140A"/>
    <w:rsid w:val="007B1D31"/>
    <w:rsid w:val="007B555D"/>
    <w:rsid w:val="007C42CD"/>
    <w:rsid w:val="007C48AA"/>
    <w:rsid w:val="007C6981"/>
    <w:rsid w:val="007D7E09"/>
    <w:rsid w:val="007E3543"/>
    <w:rsid w:val="007E503C"/>
    <w:rsid w:val="007F4240"/>
    <w:rsid w:val="007F4358"/>
    <w:rsid w:val="007F6CFE"/>
    <w:rsid w:val="008032A3"/>
    <w:rsid w:val="0081219D"/>
    <w:rsid w:val="008211DA"/>
    <w:rsid w:val="0082120C"/>
    <w:rsid w:val="00822E55"/>
    <w:rsid w:val="00824449"/>
    <w:rsid w:val="0084583C"/>
    <w:rsid w:val="00850C8B"/>
    <w:rsid w:val="00855926"/>
    <w:rsid w:val="00861A49"/>
    <w:rsid w:val="00865316"/>
    <w:rsid w:val="00880A9B"/>
    <w:rsid w:val="00881177"/>
    <w:rsid w:val="008850E8"/>
    <w:rsid w:val="00887D9C"/>
    <w:rsid w:val="00892472"/>
    <w:rsid w:val="00895D5D"/>
    <w:rsid w:val="008A48CB"/>
    <w:rsid w:val="008A7508"/>
    <w:rsid w:val="008B0EE0"/>
    <w:rsid w:val="008B14B0"/>
    <w:rsid w:val="008B51DB"/>
    <w:rsid w:val="008B5FD7"/>
    <w:rsid w:val="008C0528"/>
    <w:rsid w:val="008C2DDA"/>
    <w:rsid w:val="008D34CF"/>
    <w:rsid w:val="008D4C0A"/>
    <w:rsid w:val="008D508C"/>
    <w:rsid w:val="008E5CB4"/>
    <w:rsid w:val="008F01CC"/>
    <w:rsid w:val="008F0B41"/>
    <w:rsid w:val="008F0E35"/>
    <w:rsid w:val="008F670E"/>
    <w:rsid w:val="008F77BD"/>
    <w:rsid w:val="00901F2B"/>
    <w:rsid w:val="009069FA"/>
    <w:rsid w:val="00915577"/>
    <w:rsid w:val="0091710E"/>
    <w:rsid w:val="00926509"/>
    <w:rsid w:val="009350E4"/>
    <w:rsid w:val="00943330"/>
    <w:rsid w:val="0095385F"/>
    <w:rsid w:val="00954C9B"/>
    <w:rsid w:val="009578F0"/>
    <w:rsid w:val="00961935"/>
    <w:rsid w:val="00966D0C"/>
    <w:rsid w:val="009742A8"/>
    <w:rsid w:val="00984F93"/>
    <w:rsid w:val="009911EE"/>
    <w:rsid w:val="00991BEA"/>
    <w:rsid w:val="009970EA"/>
    <w:rsid w:val="009A086A"/>
    <w:rsid w:val="009A4ACF"/>
    <w:rsid w:val="009B5083"/>
    <w:rsid w:val="009C2F90"/>
    <w:rsid w:val="009D235B"/>
    <w:rsid w:val="009E7008"/>
    <w:rsid w:val="009E7332"/>
    <w:rsid w:val="009F07D1"/>
    <w:rsid w:val="009F176E"/>
    <w:rsid w:val="00A03BE0"/>
    <w:rsid w:val="00A0458E"/>
    <w:rsid w:val="00A10929"/>
    <w:rsid w:val="00A13AEC"/>
    <w:rsid w:val="00A14FE2"/>
    <w:rsid w:val="00A26495"/>
    <w:rsid w:val="00A277CE"/>
    <w:rsid w:val="00A30518"/>
    <w:rsid w:val="00A33898"/>
    <w:rsid w:val="00A461EB"/>
    <w:rsid w:val="00A5455F"/>
    <w:rsid w:val="00A66A83"/>
    <w:rsid w:val="00A7540B"/>
    <w:rsid w:val="00A82079"/>
    <w:rsid w:val="00A84657"/>
    <w:rsid w:val="00A85604"/>
    <w:rsid w:val="00A878F4"/>
    <w:rsid w:val="00A950CF"/>
    <w:rsid w:val="00AA1938"/>
    <w:rsid w:val="00AB2B2B"/>
    <w:rsid w:val="00AC4EA2"/>
    <w:rsid w:val="00AE398C"/>
    <w:rsid w:val="00AE5584"/>
    <w:rsid w:val="00AE6E63"/>
    <w:rsid w:val="00AF073F"/>
    <w:rsid w:val="00B2012A"/>
    <w:rsid w:val="00B32D6A"/>
    <w:rsid w:val="00B36D0E"/>
    <w:rsid w:val="00B458D3"/>
    <w:rsid w:val="00B50549"/>
    <w:rsid w:val="00B51A31"/>
    <w:rsid w:val="00B533FA"/>
    <w:rsid w:val="00B54F12"/>
    <w:rsid w:val="00B76B59"/>
    <w:rsid w:val="00B91C9C"/>
    <w:rsid w:val="00B92116"/>
    <w:rsid w:val="00B94698"/>
    <w:rsid w:val="00BA3829"/>
    <w:rsid w:val="00BA7D38"/>
    <w:rsid w:val="00BB3B69"/>
    <w:rsid w:val="00BB68A2"/>
    <w:rsid w:val="00BC4A4E"/>
    <w:rsid w:val="00BD04C3"/>
    <w:rsid w:val="00BD08C1"/>
    <w:rsid w:val="00BD69B3"/>
    <w:rsid w:val="00BD6CEE"/>
    <w:rsid w:val="00BE2DEE"/>
    <w:rsid w:val="00BE7A7D"/>
    <w:rsid w:val="00BF3922"/>
    <w:rsid w:val="00BF4675"/>
    <w:rsid w:val="00C17E5E"/>
    <w:rsid w:val="00C307EC"/>
    <w:rsid w:val="00C52CB1"/>
    <w:rsid w:val="00C55880"/>
    <w:rsid w:val="00C61CF1"/>
    <w:rsid w:val="00C66E22"/>
    <w:rsid w:val="00C74AC9"/>
    <w:rsid w:val="00C75CD2"/>
    <w:rsid w:val="00C808B9"/>
    <w:rsid w:val="00C81D8B"/>
    <w:rsid w:val="00C821FE"/>
    <w:rsid w:val="00C8542A"/>
    <w:rsid w:val="00C86CC4"/>
    <w:rsid w:val="00CC232D"/>
    <w:rsid w:val="00CC47DA"/>
    <w:rsid w:val="00CD2404"/>
    <w:rsid w:val="00CE0013"/>
    <w:rsid w:val="00CE0071"/>
    <w:rsid w:val="00CE20F7"/>
    <w:rsid w:val="00CE6256"/>
    <w:rsid w:val="00CE71C4"/>
    <w:rsid w:val="00CE7805"/>
    <w:rsid w:val="00D0245D"/>
    <w:rsid w:val="00D030FA"/>
    <w:rsid w:val="00D03776"/>
    <w:rsid w:val="00D064F9"/>
    <w:rsid w:val="00D10D17"/>
    <w:rsid w:val="00D13E94"/>
    <w:rsid w:val="00D16520"/>
    <w:rsid w:val="00D228C3"/>
    <w:rsid w:val="00D23674"/>
    <w:rsid w:val="00D31375"/>
    <w:rsid w:val="00D41454"/>
    <w:rsid w:val="00D4403A"/>
    <w:rsid w:val="00D50B77"/>
    <w:rsid w:val="00D53E60"/>
    <w:rsid w:val="00D5749E"/>
    <w:rsid w:val="00D6525B"/>
    <w:rsid w:val="00D80C61"/>
    <w:rsid w:val="00D82188"/>
    <w:rsid w:val="00D92CE5"/>
    <w:rsid w:val="00D97F2D"/>
    <w:rsid w:val="00D97F34"/>
    <w:rsid w:val="00DA2624"/>
    <w:rsid w:val="00DA359A"/>
    <w:rsid w:val="00DA36ED"/>
    <w:rsid w:val="00DB58D9"/>
    <w:rsid w:val="00DC682F"/>
    <w:rsid w:val="00DE2D0B"/>
    <w:rsid w:val="00DE4695"/>
    <w:rsid w:val="00DF481D"/>
    <w:rsid w:val="00E06C2F"/>
    <w:rsid w:val="00E27C53"/>
    <w:rsid w:val="00E312AC"/>
    <w:rsid w:val="00E632D2"/>
    <w:rsid w:val="00E70203"/>
    <w:rsid w:val="00E72310"/>
    <w:rsid w:val="00E77F90"/>
    <w:rsid w:val="00EA4CB2"/>
    <w:rsid w:val="00EA6CB8"/>
    <w:rsid w:val="00EB0468"/>
    <w:rsid w:val="00EB45C0"/>
    <w:rsid w:val="00EB61A5"/>
    <w:rsid w:val="00EB7810"/>
    <w:rsid w:val="00EC351E"/>
    <w:rsid w:val="00ED4625"/>
    <w:rsid w:val="00ED58AF"/>
    <w:rsid w:val="00F0328A"/>
    <w:rsid w:val="00F234BB"/>
    <w:rsid w:val="00F239BF"/>
    <w:rsid w:val="00F4190C"/>
    <w:rsid w:val="00F521F5"/>
    <w:rsid w:val="00F57C30"/>
    <w:rsid w:val="00F600C6"/>
    <w:rsid w:val="00F64B52"/>
    <w:rsid w:val="00F673B9"/>
    <w:rsid w:val="00F82C5C"/>
    <w:rsid w:val="00F8672C"/>
    <w:rsid w:val="00F9174F"/>
    <w:rsid w:val="00F92639"/>
    <w:rsid w:val="00F947E9"/>
    <w:rsid w:val="00F978FC"/>
    <w:rsid w:val="00F97D06"/>
    <w:rsid w:val="00FB779D"/>
    <w:rsid w:val="00FC2531"/>
    <w:rsid w:val="00FC50A4"/>
    <w:rsid w:val="00FC7032"/>
    <w:rsid w:val="00FC7C2B"/>
    <w:rsid w:val="00FD0887"/>
    <w:rsid w:val="00FE0920"/>
    <w:rsid w:val="00FE5654"/>
    <w:rsid w:val="00FE7FA7"/>
    <w:rsid w:val="00FF4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EC19"/>
  <w15:docId w15:val="{30B1447C-8F23-4641-BB52-433372F2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556"/>
    <w:rPr>
      <w:lang w:val="es-ES_tradnl"/>
    </w:rPr>
  </w:style>
  <w:style w:type="paragraph" w:styleId="Piedepgina">
    <w:name w:val="footer"/>
    <w:basedOn w:val="Normal"/>
    <w:link w:val="PiedepginaCar"/>
    <w:uiPriority w:val="99"/>
    <w:unhideWhenUsed/>
    <w:rsid w:val="004C7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556"/>
    <w:rPr>
      <w:lang w:val="es-ES_tradnl"/>
    </w:rPr>
  </w:style>
  <w:style w:type="table" w:styleId="Tablaconcuadrcula">
    <w:name w:val="Table Grid"/>
    <w:basedOn w:val="Tablanormal"/>
    <w:uiPriority w:val="59"/>
    <w:rsid w:val="00BC4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8D508C"/>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8D508C"/>
    <w:rPr>
      <w:rFonts w:ascii="Arial" w:hAnsi="Arial" w:cs="Arial"/>
      <w:sz w:val="23"/>
      <w:szCs w:val="23"/>
    </w:rPr>
  </w:style>
  <w:style w:type="character" w:styleId="Refdecomentario">
    <w:name w:val="annotation reference"/>
    <w:basedOn w:val="Fuentedeprrafopredeter"/>
    <w:uiPriority w:val="99"/>
    <w:semiHidden/>
    <w:unhideWhenUsed/>
    <w:rsid w:val="00FF4B2F"/>
    <w:rPr>
      <w:sz w:val="16"/>
      <w:szCs w:val="16"/>
    </w:rPr>
  </w:style>
  <w:style w:type="paragraph" w:styleId="Textocomentario">
    <w:name w:val="annotation text"/>
    <w:basedOn w:val="Normal"/>
    <w:link w:val="TextocomentarioCar"/>
    <w:uiPriority w:val="99"/>
    <w:semiHidden/>
    <w:unhideWhenUsed/>
    <w:rsid w:val="00FF4B2F"/>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FF4B2F"/>
    <w:rPr>
      <w:sz w:val="20"/>
      <w:szCs w:val="20"/>
    </w:rPr>
  </w:style>
  <w:style w:type="paragraph" w:styleId="Textodeglobo">
    <w:name w:val="Balloon Text"/>
    <w:basedOn w:val="Normal"/>
    <w:link w:val="TextodegloboCar"/>
    <w:uiPriority w:val="99"/>
    <w:semiHidden/>
    <w:unhideWhenUsed/>
    <w:rsid w:val="00FF4B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B2F"/>
    <w:rPr>
      <w:rFonts w:ascii="Segoe UI" w:hAnsi="Segoe UI" w:cs="Segoe UI"/>
      <w:sz w:val="18"/>
      <w:szCs w:val="18"/>
      <w:lang w:val="es-ES_tradnl"/>
    </w:rPr>
  </w:style>
  <w:style w:type="paragraph" w:customStyle="1" w:styleId="corte4fondo">
    <w:name w:val="corte4 fondo"/>
    <w:basedOn w:val="Normal"/>
    <w:link w:val="corte4fondoCar1"/>
    <w:qFormat/>
    <w:rsid w:val="00056DB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056DB6"/>
    <w:rPr>
      <w:rFonts w:ascii="Arial" w:eastAsia="Times New Roman" w:hAnsi="Arial" w:cs="Times New Roman"/>
      <w:sz w:val="30"/>
      <w:szCs w:val="20"/>
      <w:lang w:val="es-ES_tradnl" w:eastAsia="es-MX"/>
    </w:rPr>
  </w:style>
  <w:style w:type="paragraph" w:styleId="Textonotapie">
    <w:name w:val="footnote text"/>
    <w:basedOn w:val="Normal"/>
    <w:link w:val="TextonotapieCar"/>
    <w:rsid w:val="008A48CB"/>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8A48CB"/>
    <w:rPr>
      <w:rFonts w:ascii="Times New Roman" w:eastAsia="Times New Roman" w:hAnsi="Times New Roman" w:cs="Times New Roman"/>
      <w:sz w:val="20"/>
      <w:szCs w:val="20"/>
      <w:lang w:eastAsia="es-MX"/>
    </w:rPr>
  </w:style>
  <w:style w:type="character" w:styleId="Refdenotaalpie">
    <w:name w:val="footnote reference"/>
    <w:rsid w:val="008A48CB"/>
    <w:rPr>
      <w:vertAlign w:val="superscript"/>
    </w:rPr>
  </w:style>
  <w:style w:type="paragraph" w:customStyle="1" w:styleId="Footnote">
    <w:name w:val="Footnote"/>
    <w:basedOn w:val="Normal"/>
    <w:rsid w:val="008A48CB"/>
    <w:pPr>
      <w:suppressLineNumbers/>
      <w:suppressAutoHyphens/>
      <w:autoSpaceDN w:val="0"/>
      <w:spacing w:after="160" w:line="259" w:lineRule="auto"/>
      <w:ind w:left="283" w:hanging="283"/>
      <w:textAlignment w:val="baseline"/>
    </w:pPr>
    <w:rPr>
      <w:rFonts w:ascii="Calibri" w:eastAsia="SimSun" w:hAnsi="Calibri" w:cs="F"/>
      <w:kern w:val="3"/>
      <w:sz w:val="20"/>
      <w:szCs w:val="20"/>
    </w:rPr>
  </w:style>
  <w:style w:type="paragraph" w:styleId="NormalWeb">
    <w:name w:val="Normal (Web)"/>
    <w:basedOn w:val="Normal"/>
    <w:uiPriority w:val="99"/>
    <w:unhideWhenUsed/>
    <w:rsid w:val="008A48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A48CB"/>
    <w:rPr>
      <w:i/>
      <w:iCs/>
    </w:rPr>
  </w:style>
  <w:style w:type="paragraph" w:styleId="Prrafodelista">
    <w:name w:val="List Paragraph"/>
    <w:aliases w:val="Párrafo de lista1,List Paragraph2,List Paragraph1,Colorful List - Accent 11,Lista vistosa - Énfasis 11"/>
    <w:basedOn w:val="Normal"/>
    <w:link w:val="PrrafodelistaCar"/>
    <w:uiPriority w:val="34"/>
    <w:qFormat/>
    <w:rsid w:val="00DB58D9"/>
    <w:pPr>
      <w:ind w:left="720"/>
      <w:contextualSpacing/>
    </w:pPr>
  </w:style>
  <w:style w:type="character" w:customStyle="1" w:styleId="PrrafodelistaCar">
    <w:name w:val="Párrafo de lista Car"/>
    <w:aliases w:val="Párrafo de lista1 Car,List Paragraph2 Car,List Paragraph1 Car,Colorful List - Accent 11 Car,Lista vistosa - Énfasis 11 Car"/>
    <w:basedOn w:val="Fuentedeprrafopredeter"/>
    <w:link w:val="Prrafodelista"/>
    <w:uiPriority w:val="34"/>
    <w:locked/>
    <w:rsid w:val="00C74AC9"/>
  </w:style>
  <w:style w:type="paragraph" w:customStyle="1" w:styleId="Default">
    <w:name w:val="Default"/>
    <w:rsid w:val="004C17D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C17D2"/>
    <w:rPr>
      <w:color w:val="0000FF"/>
      <w:u w:val="single"/>
    </w:rPr>
  </w:style>
  <w:style w:type="character" w:customStyle="1" w:styleId="bold">
    <w:name w:val="bold"/>
    <w:basedOn w:val="Fuentedeprrafopredeter"/>
    <w:rsid w:val="00D31375"/>
  </w:style>
  <w:style w:type="character" w:styleId="Mencinsinresolver">
    <w:name w:val="Unresolved Mention"/>
    <w:basedOn w:val="Fuentedeprrafopredeter"/>
    <w:uiPriority w:val="99"/>
    <w:semiHidden/>
    <w:unhideWhenUsed/>
    <w:rsid w:val="00465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1049">
      <w:bodyDiv w:val="1"/>
      <w:marLeft w:val="0"/>
      <w:marRight w:val="0"/>
      <w:marTop w:val="0"/>
      <w:marBottom w:val="0"/>
      <w:divBdr>
        <w:top w:val="none" w:sz="0" w:space="0" w:color="auto"/>
        <w:left w:val="none" w:sz="0" w:space="0" w:color="auto"/>
        <w:bottom w:val="none" w:sz="0" w:space="0" w:color="auto"/>
        <w:right w:val="none" w:sz="0" w:space="0" w:color="auto"/>
      </w:divBdr>
    </w:div>
    <w:div w:id="678506321">
      <w:bodyDiv w:val="1"/>
      <w:marLeft w:val="0"/>
      <w:marRight w:val="0"/>
      <w:marTop w:val="0"/>
      <w:marBottom w:val="0"/>
      <w:divBdr>
        <w:top w:val="none" w:sz="0" w:space="0" w:color="auto"/>
        <w:left w:val="none" w:sz="0" w:space="0" w:color="auto"/>
        <w:bottom w:val="none" w:sz="0" w:space="0" w:color="auto"/>
        <w:right w:val="none" w:sz="0" w:space="0" w:color="auto"/>
      </w:divBdr>
    </w:div>
    <w:div w:id="732000770">
      <w:bodyDiv w:val="1"/>
      <w:marLeft w:val="0"/>
      <w:marRight w:val="0"/>
      <w:marTop w:val="0"/>
      <w:marBottom w:val="0"/>
      <w:divBdr>
        <w:top w:val="none" w:sz="0" w:space="0" w:color="auto"/>
        <w:left w:val="none" w:sz="0" w:space="0" w:color="auto"/>
        <w:bottom w:val="none" w:sz="0" w:space="0" w:color="auto"/>
        <w:right w:val="none" w:sz="0" w:space="0" w:color="auto"/>
      </w:divBdr>
      <w:divsChild>
        <w:div w:id="262154229">
          <w:marLeft w:val="1080"/>
          <w:marRight w:val="0"/>
          <w:marTop w:val="0"/>
          <w:marBottom w:val="101"/>
          <w:divBdr>
            <w:top w:val="none" w:sz="0" w:space="0" w:color="auto"/>
            <w:left w:val="none" w:sz="0" w:space="0" w:color="auto"/>
            <w:bottom w:val="none" w:sz="0" w:space="0" w:color="auto"/>
            <w:right w:val="none" w:sz="0" w:space="0" w:color="auto"/>
          </w:divBdr>
        </w:div>
        <w:div w:id="2138142523">
          <w:marLeft w:val="1080"/>
          <w:marRight w:val="0"/>
          <w:marTop w:val="0"/>
          <w:marBottom w:val="101"/>
          <w:divBdr>
            <w:top w:val="none" w:sz="0" w:space="0" w:color="auto"/>
            <w:left w:val="none" w:sz="0" w:space="0" w:color="auto"/>
            <w:bottom w:val="none" w:sz="0" w:space="0" w:color="auto"/>
            <w:right w:val="none" w:sz="0" w:space="0" w:color="auto"/>
          </w:divBdr>
        </w:div>
        <w:div w:id="727454126">
          <w:marLeft w:val="1080"/>
          <w:marRight w:val="0"/>
          <w:marTop w:val="0"/>
          <w:marBottom w:val="101"/>
          <w:divBdr>
            <w:top w:val="none" w:sz="0" w:space="0" w:color="auto"/>
            <w:left w:val="none" w:sz="0" w:space="0" w:color="auto"/>
            <w:bottom w:val="none" w:sz="0" w:space="0" w:color="auto"/>
            <w:right w:val="none" w:sz="0" w:space="0" w:color="auto"/>
          </w:divBdr>
        </w:div>
        <w:div w:id="1476676538">
          <w:marLeft w:val="1080"/>
          <w:marRight w:val="0"/>
          <w:marTop w:val="0"/>
          <w:marBottom w:val="101"/>
          <w:divBdr>
            <w:top w:val="none" w:sz="0" w:space="0" w:color="auto"/>
            <w:left w:val="none" w:sz="0" w:space="0" w:color="auto"/>
            <w:bottom w:val="none" w:sz="0" w:space="0" w:color="auto"/>
            <w:right w:val="none" w:sz="0" w:space="0" w:color="auto"/>
          </w:divBdr>
        </w:div>
      </w:divsChild>
    </w:div>
    <w:div w:id="740636157">
      <w:bodyDiv w:val="1"/>
      <w:marLeft w:val="0"/>
      <w:marRight w:val="0"/>
      <w:marTop w:val="0"/>
      <w:marBottom w:val="0"/>
      <w:divBdr>
        <w:top w:val="none" w:sz="0" w:space="0" w:color="auto"/>
        <w:left w:val="none" w:sz="0" w:space="0" w:color="auto"/>
        <w:bottom w:val="none" w:sz="0" w:space="0" w:color="auto"/>
        <w:right w:val="none" w:sz="0" w:space="0" w:color="auto"/>
      </w:divBdr>
    </w:div>
    <w:div w:id="872499068">
      <w:bodyDiv w:val="1"/>
      <w:marLeft w:val="0"/>
      <w:marRight w:val="0"/>
      <w:marTop w:val="0"/>
      <w:marBottom w:val="0"/>
      <w:divBdr>
        <w:top w:val="none" w:sz="0" w:space="0" w:color="auto"/>
        <w:left w:val="none" w:sz="0" w:space="0" w:color="auto"/>
        <w:bottom w:val="none" w:sz="0" w:space="0" w:color="auto"/>
        <w:right w:val="none" w:sz="0" w:space="0" w:color="auto"/>
      </w:divBdr>
    </w:div>
    <w:div w:id="1127502655">
      <w:bodyDiv w:val="1"/>
      <w:marLeft w:val="0"/>
      <w:marRight w:val="0"/>
      <w:marTop w:val="0"/>
      <w:marBottom w:val="0"/>
      <w:divBdr>
        <w:top w:val="none" w:sz="0" w:space="0" w:color="auto"/>
        <w:left w:val="none" w:sz="0" w:space="0" w:color="auto"/>
        <w:bottom w:val="none" w:sz="0" w:space="0" w:color="auto"/>
        <w:right w:val="none" w:sz="0" w:space="0" w:color="auto"/>
      </w:divBdr>
    </w:div>
    <w:div w:id="1276861113">
      <w:bodyDiv w:val="1"/>
      <w:marLeft w:val="0"/>
      <w:marRight w:val="0"/>
      <w:marTop w:val="0"/>
      <w:marBottom w:val="0"/>
      <w:divBdr>
        <w:top w:val="none" w:sz="0" w:space="0" w:color="auto"/>
        <w:left w:val="none" w:sz="0" w:space="0" w:color="auto"/>
        <w:bottom w:val="none" w:sz="0" w:space="0" w:color="auto"/>
        <w:right w:val="none" w:sz="0" w:space="0" w:color="auto"/>
      </w:divBdr>
    </w:div>
    <w:div w:id="1374304713">
      <w:bodyDiv w:val="1"/>
      <w:marLeft w:val="0"/>
      <w:marRight w:val="0"/>
      <w:marTop w:val="0"/>
      <w:marBottom w:val="0"/>
      <w:divBdr>
        <w:top w:val="none" w:sz="0" w:space="0" w:color="auto"/>
        <w:left w:val="none" w:sz="0" w:space="0" w:color="auto"/>
        <w:bottom w:val="none" w:sz="0" w:space="0" w:color="auto"/>
        <w:right w:val="none" w:sz="0" w:space="0" w:color="auto"/>
      </w:divBdr>
      <w:divsChild>
        <w:div w:id="1925526278">
          <w:marLeft w:val="0"/>
          <w:marRight w:val="0"/>
          <w:marTop w:val="0"/>
          <w:marBottom w:val="101"/>
          <w:divBdr>
            <w:top w:val="none" w:sz="0" w:space="0" w:color="auto"/>
            <w:left w:val="none" w:sz="0" w:space="0" w:color="auto"/>
            <w:bottom w:val="none" w:sz="0" w:space="0" w:color="auto"/>
            <w:right w:val="none" w:sz="0" w:space="0" w:color="auto"/>
          </w:divBdr>
        </w:div>
        <w:div w:id="52119642">
          <w:marLeft w:val="1080"/>
          <w:marRight w:val="0"/>
          <w:marTop w:val="0"/>
          <w:marBottom w:val="101"/>
          <w:divBdr>
            <w:top w:val="none" w:sz="0" w:space="0" w:color="auto"/>
            <w:left w:val="none" w:sz="0" w:space="0" w:color="auto"/>
            <w:bottom w:val="none" w:sz="0" w:space="0" w:color="auto"/>
            <w:right w:val="none" w:sz="0" w:space="0" w:color="auto"/>
          </w:divBdr>
        </w:div>
        <w:div w:id="842087544">
          <w:marLeft w:val="1080"/>
          <w:marRight w:val="0"/>
          <w:marTop w:val="0"/>
          <w:marBottom w:val="101"/>
          <w:divBdr>
            <w:top w:val="none" w:sz="0" w:space="0" w:color="auto"/>
            <w:left w:val="none" w:sz="0" w:space="0" w:color="auto"/>
            <w:bottom w:val="none" w:sz="0" w:space="0" w:color="auto"/>
            <w:right w:val="none" w:sz="0" w:space="0" w:color="auto"/>
          </w:divBdr>
        </w:div>
        <w:div w:id="1805536749">
          <w:marLeft w:val="1080"/>
          <w:marRight w:val="0"/>
          <w:marTop w:val="0"/>
          <w:marBottom w:val="101"/>
          <w:divBdr>
            <w:top w:val="none" w:sz="0" w:space="0" w:color="auto"/>
            <w:left w:val="none" w:sz="0" w:space="0" w:color="auto"/>
            <w:bottom w:val="none" w:sz="0" w:space="0" w:color="auto"/>
            <w:right w:val="none" w:sz="0" w:space="0" w:color="auto"/>
          </w:divBdr>
        </w:div>
        <w:div w:id="337925865">
          <w:marLeft w:val="1080"/>
          <w:marRight w:val="0"/>
          <w:marTop w:val="0"/>
          <w:marBottom w:val="101"/>
          <w:divBdr>
            <w:top w:val="none" w:sz="0" w:space="0" w:color="auto"/>
            <w:left w:val="none" w:sz="0" w:space="0" w:color="auto"/>
            <w:bottom w:val="none" w:sz="0" w:space="0" w:color="auto"/>
            <w:right w:val="none" w:sz="0" w:space="0" w:color="auto"/>
          </w:divBdr>
        </w:div>
        <w:div w:id="1064333491">
          <w:marLeft w:val="1080"/>
          <w:marRight w:val="0"/>
          <w:marTop w:val="0"/>
          <w:marBottom w:val="101"/>
          <w:divBdr>
            <w:top w:val="none" w:sz="0" w:space="0" w:color="auto"/>
            <w:left w:val="none" w:sz="0" w:space="0" w:color="auto"/>
            <w:bottom w:val="none" w:sz="0" w:space="0" w:color="auto"/>
            <w:right w:val="none" w:sz="0" w:space="0" w:color="auto"/>
          </w:divBdr>
        </w:div>
        <w:div w:id="543174869">
          <w:marLeft w:val="1080"/>
          <w:marRight w:val="0"/>
          <w:marTop w:val="0"/>
          <w:marBottom w:val="101"/>
          <w:divBdr>
            <w:top w:val="none" w:sz="0" w:space="0" w:color="auto"/>
            <w:left w:val="none" w:sz="0" w:space="0" w:color="auto"/>
            <w:bottom w:val="none" w:sz="0" w:space="0" w:color="auto"/>
            <w:right w:val="none" w:sz="0" w:space="0" w:color="auto"/>
          </w:divBdr>
        </w:div>
        <w:div w:id="1746998739">
          <w:marLeft w:val="1080"/>
          <w:marRight w:val="0"/>
          <w:marTop w:val="0"/>
          <w:marBottom w:val="101"/>
          <w:divBdr>
            <w:top w:val="none" w:sz="0" w:space="0" w:color="auto"/>
            <w:left w:val="none" w:sz="0" w:space="0" w:color="auto"/>
            <w:bottom w:val="none" w:sz="0" w:space="0" w:color="auto"/>
            <w:right w:val="none" w:sz="0" w:space="0" w:color="auto"/>
          </w:divBdr>
        </w:div>
        <w:div w:id="1162621915">
          <w:marLeft w:val="1080"/>
          <w:marRight w:val="0"/>
          <w:marTop w:val="0"/>
          <w:marBottom w:val="101"/>
          <w:divBdr>
            <w:top w:val="none" w:sz="0" w:space="0" w:color="auto"/>
            <w:left w:val="none" w:sz="0" w:space="0" w:color="auto"/>
            <w:bottom w:val="none" w:sz="0" w:space="0" w:color="auto"/>
            <w:right w:val="none" w:sz="0" w:space="0" w:color="auto"/>
          </w:divBdr>
        </w:div>
        <w:div w:id="1980569870">
          <w:marLeft w:val="1080"/>
          <w:marRight w:val="0"/>
          <w:marTop w:val="0"/>
          <w:marBottom w:val="101"/>
          <w:divBdr>
            <w:top w:val="none" w:sz="0" w:space="0" w:color="auto"/>
            <w:left w:val="none" w:sz="0" w:space="0" w:color="auto"/>
            <w:bottom w:val="none" w:sz="0" w:space="0" w:color="auto"/>
            <w:right w:val="none" w:sz="0" w:space="0" w:color="auto"/>
          </w:divBdr>
        </w:div>
        <w:div w:id="714503247">
          <w:marLeft w:val="1080"/>
          <w:marRight w:val="0"/>
          <w:marTop w:val="0"/>
          <w:marBottom w:val="101"/>
          <w:divBdr>
            <w:top w:val="none" w:sz="0" w:space="0" w:color="auto"/>
            <w:left w:val="none" w:sz="0" w:space="0" w:color="auto"/>
            <w:bottom w:val="none" w:sz="0" w:space="0" w:color="auto"/>
            <w:right w:val="none" w:sz="0" w:space="0" w:color="auto"/>
          </w:divBdr>
        </w:div>
        <w:div w:id="576013029">
          <w:marLeft w:val="1080"/>
          <w:marRight w:val="0"/>
          <w:marTop w:val="0"/>
          <w:marBottom w:val="101"/>
          <w:divBdr>
            <w:top w:val="none" w:sz="0" w:space="0" w:color="auto"/>
            <w:left w:val="none" w:sz="0" w:space="0" w:color="auto"/>
            <w:bottom w:val="none" w:sz="0" w:space="0" w:color="auto"/>
            <w:right w:val="none" w:sz="0" w:space="0" w:color="auto"/>
          </w:divBdr>
        </w:div>
        <w:div w:id="1824007747">
          <w:marLeft w:val="1080"/>
          <w:marRight w:val="0"/>
          <w:marTop w:val="0"/>
          <w:marBottom w:val="101"/>
          <w:divBdr>
            <w:top w:val="none" w:sz="0" w:space="0" w:color="auto"/>
            <w:left w:val="none" w:sz="0" w:space="0" w:color="auto"/>
            <w:bottom w:val="none" w:sz="0" w:space="0" w:color="auto"/>
            <w:right w:val="none" w:sz="0" w:space="0" w:color="auto"/>
          </w:divBdr>
        </w:div>
        <w:div w:id="1982028931">
          <w:marLeft w:val="1080"/>
          <w:marRight w:val="0"/>
          <w:marTop w:val="0"/>
          <w:marBottom w:val="101"/>
          <w:divBdr>
            <w:top w:val="none" w:sz="0" w:space="0" w:color="auto"/>
            <w:left w:val="none" w:sz="0" w:space="0" w:color="auto"/>
            <w:bottom w:val="none" w:sz="0" w:space="0" w:color="auto"/>
            <w:right w:val="none" w:sz="0" w:space="0" w:color="auto"/>
          </w:divBdr>
        </w:div>
        <w:div w:id="736442243">
          <w:marLeft w:val="1080"/>
          <w:marRight w:val="0"/>
          <w:marTop w:val="0"/>
          <w:marBottom w:val="101"/>
          <w:divBdr>
            <w:top w:val="none" w:sz="0" w:space="0" w:color="auto"/>
            <w:left w:val="none" w:sz="0" w:space="0" w:color="auto"/>
            <w:bottom w:val="none" w:sz="0" w:space="0" w:color="auto"/>
            <w:right w:val="none" w:sz="0" w:space="0" w:color="auto"/>
          </w:divBdr>
        </w:div>
        <w:div w:id="847908975">
          <w:marLeft w:val="720"/>
          <w:marRight w:val="0"/>
          <w:marTop w:val="0"/>
          <w:marBottom w:val="101"/>
          <w:divBdr>
            <w:top w:val="none" w:sz="0" w:space="0" w:color="auto"/>
            <w:left w:val="none" w:sz="0" w:space="0" w:color="auto"/>
            <w:bottom w:val="none" w:sz="0" w:space="0" w:color="auto"/>
            <w:right w:val="none" w:sz="0" w:space="0" w:color="auto"/>
          </w:divBdr>
        </w:div>
        <w:div w:id="1854951519">
          <w:marLeft w:val="720"/>
          <w:marRight w:val="0"/>
          <w:marTop w:val="0"/>
          <w:marBottom w:val="101"/>
          <w:divBdr>
            <w:top w:val="none" w:sz="0" w:space="0" w:color="auto"/>
            <w:left w:val="none" w:sz="0" w:space="0" w:color="auto"/>
            <w:bottom w:val="none" w:sz="0" w:space="0" w:color="auto"/>
            <w:right w:val="none" w:sz="0" w:space="0" w:color="auto"/>
          </w:divBdr>
        </w:div>
        <w:div w:id="1627420596">
          <w:marLeft w:val="720"/>
          <w:marRight w:val="0"/>
          <w:marTop w:val="0"/>
          <w:marBottom w:val="101"/>
          <w:divBdr>
            <w:top w:val="none" w:sz="0" w:space="0" w:color="auto"/>
            <w:left w:val="none" w:sz="0" w:space="0" w:color="auto"/>
            <w:bottom w:val="none" w:sz="0" w:space="0" w:color="auto"/>
            <w:right w:val="none" w:sz="0" w:space="0" w:color="auto"/>
          </w:divBdr>
        </w:div>
        <w:div w:id="1886789823">
          <w:marLeft w:val="720"/>
          <w:marRight w:val="0"/>
          <w:marTop w:val="0"/>
          <w:marBottom w:val="101"/>
          <w:divBdr>
            <w:top w:val="none" w:sz="0" w:space="0" w:color="auto"/>
            <w:left w:val="none" w:sz="0" w:space="0" w:color="auto"/>
            <w:bottom w:val="none" w:sz="0" w:space="0" w:color="auto"/>
            <w:right w:val="none" w:sz="0" w:space="0" w:color="auto"/>
          </w:divBdr>
        </w:div>
      </w:divsChild>
    </w:div>
    <w:div w:id="1394966112">
      <w:bodyDiv w:val="1"/>
      <w:marLeft w:val="0"/>
      <w:marRight w:val="0"/>
      <w:marTop w:val="0"/>
      <w:marBottom w:val="0"/>
      <w:divBdr>
        <w:top w:val="none" w:sz="0" w:space="0" w:color="auto"/>
        <w:left w:val="none" w:sz="0" w:space="0" w:color="auto"/>
        <w:bottom w:val="none" w:sz="0" w:space="0" w:color="auto"/>
        <w:right w:val="none" w:sz="0" w:space="0" w:color="auto"/>
      </w:divBdr>
    </w:div>
    <w:div w:id="1659262193">
      <w:bodyDiv w:val="1"/>
      <w:marLeft w:val="0"/>
      <w:marRight w:val="0"/>
      <w:marTop w:val="0"/>
      <w:marBottom w:val="0"/>
      <w:divBdr>
        <w:top w:val="none" w:sz="0" w:space="0" w:color="auto"/>
        <w:left w:val="none" w:sz="0" w:space="0" w:color="auto"/>
        <w:bottom w:val="none" w:sz="0" w:space="0" w:color="auto"/>
        <w:right w:val="none" w:sz="0" w:space="0" w:color="auto"/>
      </w:divBdr>
    </w:div>
    <w:div w:id="17985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tj.gob.mx/tribunal-virtual/sesiones-plenarias.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ACBE3-30DA-4F49-8324-8C7378F0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2228</Words>
  <Characters>12258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Hernández;fduran</dc:creator>
  <cp:lastModifiedBy>Saul E. Rodriguez Camacho</cp:lastModifiedBy>
  <cp:revision>10</cp:revision>
  <cp:lastPrinted>2019-09-17T19:25:00Z</cp:lastPrinted>
  <dcterms:created xsi:type="dcterms:W3CDTF">2025-01-14T01:43:00Z</dcterms:created>
  <dcterms:modified xsi:type="dcterms:W3CDTF">2025-01-27T23:04:00Z</dcterms:modified>
</cp:coreProperties>
</file>